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3066"/>
      </w:tblGrid>
      <w:tr w:rsidR="00ED6A68" w:rsidRPr="0077606A" w14:paraId="55928DDB" w14:textId="77777777" w:rsidTr="00337F03">
        <w:trPr>
          <w:trHeight w:val="557"/>
        </w:trPr>
        <w:tc>
          <w:tcPr>
            <w:tcW w:w="5000" w:type="pct"/>
            <w:gridSpan w:val="2"/>
            <w:shd w:val="clear" w:color="auto" w:fill="auto"/>
            <w:vAlign w:val="center"/>
          </w:tcPr>
          <w:p w14:paraId="747F5FFE" w14:textId="47854491" w:rsidR="00ED6A68" w:rsidRPr="0077606A" w:rsidRDefault="00D53E56" w:rsidP="0016304F">
            <w:pPr>
              <w:spacing w:after="0"/>
              <w:rPr>
                <w:b/>
              </w:rPr>
            </w:pPr>
            <w:r>
              <w:rPr>
                <w:b/>
                <w:lang w:eastAsia="fr-FR"/>
              </w:rPr>
              <w:t>European Semester 201</w:t>
            </w:r>
            <w:r w:rsidR="002C2233">
              <w:rPr>
                <w:b/>
                <w:lang w:eastAsia="fr-FR"/>
              </w:rPr>
              <w:t>7</w:t>
            </w:r>
            <w:r>
              <w:rPr>
                <w:b/>
                <w:lang w:eastAsia="fr-FR"/>
              </w:rPr>
              <w:t>/201</w:t>
            </w:r>
            <w:r w:rsidR="002C2233">
              <w:rPr>
                <w:b/>
                <w:lang w:eastAsia="fr-FR"/>
              </w:rPr>
              <w:t>8</w:t>
            </w:r>
            <w:r w:rsidR="0065380E" w:rsidRPr="0077606A">
              <w:rPr>
                <w:b/>
                <w:lang w:eastAsia="fr-FR"/>
              </w:rPr>
              <w:t xml:space="preserve"> country fiche on disability</w:t>
            </w:r>
          </w:p>
        </w:tc>
      </w:tr>
      <w:tr w:rsidR="00ED6A68" w:rsidRPr="0077606A" w14:paraId="5373EDED" w14:textId="77777777" w:rsidTr="00337F03">
        <w:trPr>
          <w:trHeight w:val="557"/>
        </w:trPr>
        <w:tc>
          <w:tcPr>
            <w:tcW w:w="3341" w:type="pct"/>
            <w:shd w:val="clear" w:color="auto" w:fill="auto"/>
          </w:tcPr>
          <w:p w14:paraId="7258EAB0" w14:textId="77777777" w:rsidR="00ED6A68" w:rsidRPr="0077606A" w:rsidRDefault="00ED6A68" w:rsidP="0016304F">
            <w:pPr>
              <w:spacing w:after="0"/>
              <w:rPr>
                <w:b/>
              </w:rPr>
            </w:pPr>
            <w:r w:rsidRPr="0077606A">
              <w:rPr>
                <w:b/>
              </w:rPr>
              <w:t>United Kingdom</w:t>
            </w:r>
          </w:p>
        </w:tc>
        <w:tc>
          <w:tcPr>
            <w:tcW w:w="1659" w:type="pct"/>
            <w:vMerge w:val="restart"/>
            <w:shd w:val="clear" w:color="auto" w:fill="auto"/>
            <w:vAlign w:val="center"/>
          </w:tcPr>
          <w:p w14:paraId="583063DD" w14:textId="0E2A036D" w:rsidR="00ED6A68" w:rsidRPr="0077606A" w:rsidRDefault="00EA2B9A" w:rsidP="0016304F">
            <w:pPr>
              <w:spacing w:after="0"/>
            </w:pPr>
            <w:r w:rsidRPr="0077606A">
              <w:rPr>
                <w:noProof/>
                <w:color w:val="000000"/>
                <w:lang w:eastAsia="en-GB"/>
              </w:rPr>
              <w:drawing>
                <wp:inline distT="0" distB="0" distL="0" distR="0" wp14:anchorId="4B403841" wp14:editId="105BA6EF">
                  <wp:extent cx="1764000" cy="1713600"/>
                  <wp:effectExtent l="0" t="0" r="8255" b="1270"/>
                  <wp:docPr id="39" name="Picture 3" descr="picture illustrating united-king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cture illustrating united-kingdom"/>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00" cy="1713600"/>
                          </a:xfrm>
                          <a:prstGeom prst="rect">
                            <a:avLst/>
                          </a:prstGeom>
                          <a:noFill/>
                          <a:ln>
                            <a:noFill/>
                          </a:ln>
                        </pic:spPr>
                      </pic:pic>
                    </a:graphicData>
                  </a:graphic>
                </wp:inline>
              </w:drawing>
            </w:r>
          </w:p>
        </w:tc>
      </w:tr>
      <w:tr w:rsidR="00ED6A68" w:rsidRPr="0077606A" w14:paraId="64A7A733" w14:textId="77777777" w:rsidTr="00337F03">
        <w:trPr>
          <w:trHeight w:val="1274"/>
        </w:trPr>
        <w:tc>
          <w:tcPr>
            <w:tcW w:w="3341" w:type="pct"/>
            <w:shd w:val="clear" w:color="auto" w:fill="auto"/>
          </w:tcPr>
          <w:p w14:paraId="217B725E" w14:textId="4E0C1ACE" w:rsidR="00ED6A68" w:rsidRDefault="00ED6A68" w:rsidP="0016304F">
            <w:pPr>
              <w:spacing w:after="0"/>
            </w:pPr>
            <w:r w:rsidRPr="0077606A">
              <w:t xml:space="preserve">Report prepared by: </w:t>
            </w:r>
          </w:p>
          <w:p w14:paraId="416D35B1" w14:textId="77777777" w:rsidR="00523FF1" w:rsidRPr="0077606A" w:rsidRDefault="00523FF1" w:rsidP="0016304F">
            <w:pPr>
              <w:spacing w:after="0"/>
            </w:pPr>
          </w:p>
          <w:p w14:paraId="6CDCE3FA" w14:textId="6D5DF80C" w:rsidR="00ED6A68" w:rsidRPr="0077606A" w:rsidRDefault="00343AA0" w:rsidP="0016304F">
            <w:pPr>
              <w:spacing w:after="0"/>
              <w:rPr>
                <w:b/>
              </w:rPr>
            </w:pPr>
            <w:r w:rsidRPr="0077606A">
              <w:t>Mark Priestley</w:t>
            </w:r>
          </w:p>
        </w:tc>
        <w:tc>
          <w:tcPr>
            <w:tcW w:w="1659" w:type="pct"/>
            <w:vMerge/>
            <w:shd w:val="clear" w:color="auto" w:fill="auto"/>
          </w:tcPr>
          <w:p w14:paraId="7122F1EB" w14:textId="77777777" w:rsidR="00ED6A68" w:rsidRPr="0077606A" w:rsidRDefault="00ED6A68" w:rsidP="0016304F">
            <w:pPr>
              <w:spacing w:after="0"/>
              <w:rPr>
                <w:noProof/>
                <w:color w:val="000000"/>
                <w:lang w:eastAsia="en-GB"/>
              </w:rPr>
            </w:pPr>
          </w:p>
        </w:tc>
      </w:tr>
      <w:tr w:rsidR="00ED6A68" w:rsidRPr="0077606A" w14:paraId="299B84E1" w14:textId="77777777" w:rsidTr="00337F03">
        <w:trPr>
          <w:trHeight w:val="940"/>
        </w:trPr>
        <w:tc>
          <w:tcPr>
            <w:tcW w:w="3341" w:type="pct"/>
            <w:shd w:val="clear" w:color="auto" w:fill="auto"/>
          </w:tcPr>
          <w:p w14:paraId="0EC63FD9" w14:textId="77777777" w:rsidR="00ED6A68" w:rsidRPr="0077606A" w:rsidRDefault="00ED6A68" w:rsidP="0016304F">
            <w:pPr>
              <w:spacing w:after="0"/>
            </w:pPr>
            <w:r w:rsidRPr="0077606A">
              <w:t>With comparative data provided by the ANED core team</w:t>
            </w:r>
          </w:p>
        </w:tc>
        <w:tc>
          <w:tcPr>
            <w:tcW w:w="1659" w:type="pct"/>
            <w:vMerge/>
            <w:shd w:val="clear" w:color="auto" w:fill="auto"/>
          </w:tcPr>
          <w:p w14:paraId="668C2605" w14:textId="77777777" w:rsidR="00ED6A68" w:rsidRPr="0077606A" w:rsidRDefault="00ED6A68" w:rsidP="0016304F">
            <w:pPr>
              <w:spacing w:after="0"/>
              <w:rPr>
                <w:noProof/>
                <w:color w:val="000000"/>
                <w:lang w:eastAsia="en-GB"/>
              </w:rPr>
            </w:pPr>
          </w:p>
        </w:tc>
      </w:tr>
    </w:tbl>
    <w:p w14:paraId="4E457744" w14:textId="77777777" w:rsidR="00ED6A68" w:rsidRPr="0077606A" w:rsidRDefault="00ED6A68" w:rsidP="0016304F">
      <w:pPr>
        <w:spacing w:after="0"/>
      </w:pPr>
    </w:p>
    <w:p w14:paraId="59FD4923" w14:textId="452666FA" w:rsidR="00AF323E" w:rsidRDefault="00AF323E" w:rsidP="0016304F">
      <w:pPr>
        <w:pStyle w:val="BodyText"/>
        <w:spacing w:after="0"/>
      </w:pPr>
      <w:r w:rsidRPr="0077606A">
        <w:t xml:space="preserve">The </w:t>
      </w:r>
      <w:hyperlink r:id="rId9" w:history="1">
        <w:r w:rsidRPr="0077606A">
          <w:rPr>
            <w:rStyle w:val="Hyperlink"/>
          </w:rPr>
          <w:t>Academic Network of European Disability experts</w:t>
        </w:r>
      </w:hyperlink>
      <w:r w:rsidRPr="0077606A">
        <w:t xml:space="preserve"> (ANED) was established by the European Commission in 2008 to provide scientific support and advice for its disability policy Unit. In particular, the activities of the Network support the development of the </w:t>
      </w:r>
      <w:r w:rsidR="00534975" w:rsidRPr="0077606A">
        <w:t>European Disability Strategy</w:t>
      </w:r>
      <w:r w:rsidRPr="0077606A">
        <w:t xml:space="preserve"> </w:t>
      </w:r>
      <w:r w:rsidR="00534975" w:rsidRPr="0077606A">
        <w:t xml:space="preserve">2010-2020 </w:t>
      </w:r>
      <w:r w:rsidRPr="0077606A">
        <w:t xml:space="preserve">and practical implementation of the United Nations Convention on the Rights of </w:t>
      </w:r>
      <w:r w:rsidR="00D53E56">
        <w:t>Persons with Disabilities</w:t>
      </w:r>
      <w:r w:rsidR="00534975" w:rsidRPr="0077606A">
        <w:t xml:space="preserve"> in the EU</w:t>
      </w:r>
      <w:r w:rsidRPr="0077606A">
        <w:t>.</w:t>
      </w:r>
    </w:p>
    <w:p w14:paraId="64EBB0F5" w14:textId="77777777" w:rsidR="0077606A" w:rsidRPr="0077606A" w:rsidRDefault="0077606A" w:rsidP="0016304F">
      <w:pPr>
        <w:pStyle w:val="BodyText"/>
        <w:spacing w:after="0"/>
        <w:rPr>
          <w:lang w:eastAsia="en-GB"/>
        </w:rPr>
      </w:pPr>
    </w:p>
    <w:p w14:paraId="40F0A0C3" w14:textId="77777777" w:rsidR="00AF323E" w:rsidRDefault="00AF323E" w:rsidP="0016304F">
      <w:pPr>
        <w:pStyle w:val="BodyText"/>
        <w:spacing w:after="0"/>
      </w:pPr>
      <w:r w:rsidRPr="0077606A">
        <w:t xml:space="preserve">This country report has been prepared as input for the </w:t>
      </w:r>
      <w:r w:rsidR="00534975" w:rsidRPr="0077606A">
        <w:t>E</w:t>
      </w:r>
      <w:r w:rsidR="00526839" w:rsidRPr="0077606A">
        <w:t>uropean Semester</w:t>
      </w:r>
      <w:r w:rsidR="00C75AFD" w:rsidRPr="0077606A">
        <w:t xml:space="preserve"> from a disability perspective</w:t>
      </w:r>
      <w:r w:rsidRPr="0077606A">
        <w:t xml:space="preserve">. </w:t>
      </w:r>
    </w:p>
    <w:p w14:paraId="6A54390C" w14:textId="77777777" w:rsidR="0077606A" w:rsidRPr="0077606A" w:rsidRDefault="0077606A" w:rsidP="0016304F">
      <w:pPr>
        <w:pStyle w:val="BodyText"/>
        <w:spacing w:after="0"/>
      </w:pPr>
    </w:p>
    <w:p w14:paraId="3C1D63E4" w14:textId="77777777" w:rsidR="0065380E" w:rsidRPr="0077606A" w:rsidRDefault="00480DCE" w:rsidP="0016304F">
      <w:pPr>
        <w:pStyle w:val="BodyText"/>
        <w:spacing w:after="0"/>
        <w:rPr>
          <w:i/>
        </w:rPr>
      </w:pPr>
      <w:r w:rsidRPr="0077606A">
        <w:rPr>
          <w:i/>
        </w:rPr>
        <w:t>Note</w:t>
      </w:r>
      <w:r w:rsidR="00F46384" w:rsidRPr="0077606A">
        <w:rPr>
          <w:i/>
        </w:rPr>
        <w:t>:</w:t>
      </w:r>
    </w:p>
    <w:p w14:paraId="6B0A3CFF" w14:textId="77777777" w:rsidR="00CF4E68" w:rsidRPr="004268DD" w:rsidRDefault="00CF4E68" w:rsidP="0016304F">
      <w:pPr>
        <w:pStyle w:val="BodyText"/>
        <w:spacing w:after="0"/>
        <w:rPr>
          <w:i/>
        </w:rPr>
      </w:pPr>
      <w:r w:rsidRPr="004268DD">
        <w:rPr>
          <w:i/>
        </w:rPr>
        <w:t xml:space="preserve">The statistics provided in October </w:t>
      </w:r>
      <w:r>
        <w:rPr>
          <w:i/>
        </w:rPr>
        <w:t>2017</w:t>
      </w:r>
      <w:r w:rsidRPr="004268DD">
        <w:rPr>
          <w:i/>
        </w:rPr>
        <w:t xml:space="preserve"> are based on the EU-SILC </w:t>
      </w:r>
      <w:r>
        <w:rPr>
          <w:i/>
        </w:rPr>
        <w:t>2015</w:t>
      </w:r>
      <w:r w:rsidRPr="004268DD">
        <w:rPr>
          <w:i/>
        </w:rPr>
        <w:t>. This is the most recent microdata available to researchers for analysis from Eurostat. This report may be updated as new data becomes available.</w:t>
      </w:r>
    </w:p>
    <w:p w14:paraId="372ACA3C" w14:textId="77777777" w:rsidR="0065380E" w:rsidRPr="0077606A" w:rsidRDefault="0065380E" w:rsidP="0016304F">
      <w:pPr>
        <w:spacing w:after="0"/>
      </w:pPr>
    </w:p>
    <w:p w14:paraId="7F9D331D" w14:textId="77777777" w:rsidR="0065380E" w:rsidRPr="0077606A" w:rsidRDefault="0065380E" w:rsidP="0016304F">
      <w:pPr>
        <w:spacing w:after="0"/>
      </w:pPr>
    </w:p>
    <w:p w14:paraId="4CBEDF23" w14:textId="5BEBCBBE" w:rsidR="0065380E" w:rsidRPr="0077606A" w:rsidRDefault="0065380E" w:rsidP="0016304F">
      <w:pPr>
        <w:spacing w:after="0"/>
      </w:pPr>
    </w:p>
    <w:p w14:paraId="51832871" w14:textId="6ACBF900" w:rsidR="003E7EC1" w:rsidRPr="0077606A" w:rsidRDefault="00D17953" w:rsidP="0016304F">
      <w:pPr>
        <w:spacing w:after="0"/>
        <w:jc w:val="both"/>
      </w:pPr>
      <w:r>
        <w:rPr>
          <w:noProof/>
          <w:lang w:eastAsia="en-GB"/>
        </w:rPr>
        <w:drawing>
          <wp:anchor distT="0" distB="0" distL="114300" distR="114300" simplePos="0" relativeHeight="251660288" behindDoc="0" locked="0" layoutInCell="1" allowOverlap="1" wp14:anchorId="582386E2" wp14:editId="5BA04248">
            <wp:simplePos x="0" y="0"/>
            <wp:positionH relativeFrom="column">
              <wp:posOffset>-3810</wp:posOffset>
            </wp:positionH>
            <wp:positionV relativeFrom="paragraph">
              <wp:posOffset>142240</wp:posOffset>
            </wp:positionV>
            <wp:extent cx="910590" cy="5143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017.jpg"/>
                    <pic:cNvPicPr/>
                  </pic:nvPicPr>
                  <pic:blipFill>
                    <a:blip r:embed="rId10"/>
                    <a:stretch>
                      <a:fillRect/>
                    </a:stretch>
                  </pic:blipFill>
                  <pic:spPr>
                    <a:xfrm>
                      <a:off x="0" y="0"/>
                      <a:ext cx="910590" cy="514350"/>
                    </a:xfrm>
                    <a:prstGeom prst="rect">
                      <a:avLst/>
                    </a:prstGeom>
                  </pic:spPr>
                </pic:pic>
              </a:graphicData>
            </a:graphic>
          </wp:anchor>
        </w:drawing>
      </w:r>
      <w:r>
        <w:tab/>
      </w:r>
      <w:r>
        <w:tab/>
      </w:r>
      <w:r>
        <w:tab/>
      </w:r>
      <w:r w:rsidR="0065380E" w:rsidRPr="0077606A">
        <w:tab/>
      </w:r>
      <w:r w:rsidR="0065380E" w:rsidRPr="0077606A">
        <w:tab/>
      </w:r>
      <w:r w:rsidR="0065380E" w:rsidRPr="0077606A">
        <w:tab/>
      </w:r>
      <w:r w:rsidR="0065380E" w:rsidRPr="0077606A">
        <w:tab/>
        <w:t xml:space="preserve"> </w:t>
      </w:r>
      <w:r w:rsidR="00EA2B9A" w:rsidRPr="0077606A">
        <w:rPr>
          <w:noProof/>
          <w:lang w:eastAsia="en-GB"/>
        </w:rPr>
        <w:drawing>
          <wp:inline distT="0" distB="0" distL="0" distR="0" wp14:anchorId="14333ECC" wp14:editId="57B109E7">
            <wp:extent cx="1428750" cy="600075"/>
            <wp:effectExtent l="0" t="0" r="0" b="952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2FB35204" w14:textId="774339E0" w:rsidR="0077606A" w:rsidRPr="0077606A" w:rsidRDefault="003E7EC1" w:rsidP="0016304F">
      <w:pPr>
        <w:spacing w:after="0"/>
      </w:pPr>
      <w:r w:rsidRPr="0077606A">
        <w:br w:type="page"/>
      </w:r>
      <w:r w:rsidR="00286B5C">
        <w:rPr>
          <w:b/>
        </w:rPr>
        <w:lastRenderedPageBreak/>
        <w:t>C</w:t>
      </w:r>
      <w:r w:rsidR="0077606A" w:rsidRPr="008A1463">
        <w:rPr>
          <w:b/>
        </w:rPr>
        <w:t>ontents</w:t>
      </w:r>
    </w:p>
    <w:p w14:paraId="0D5E2A90" w14:textId="77777777" w:rsidR="00A14F67" w:rsidRPr="0077606A" w:rsidRDefault="00A14F67" w:rsidP="0016304F">
      <w:pPr>
        <w:spacing w:after="0"/>
      </w:pPr>
    </w:p>
    <w:bookmarkStart w:id="0" w:name="_GoBack"/>
    <w:bookmarkEnd w:id="0"/>
    <w:p w14:paraId="1284D93E" w14:textId="5C9FA8F7" w:rsidR="0016304F" w:rsidRDefault="00523FF1">
      <w:pPr>
        <w:pStyle w:val="TOC1"/>
        <w:tabs>
          <w:tab w:val="right" w:leader="dot" w:pos="9016"/>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511056630" w:history="1">
        <w:r w:rsidR="0016304F" w:rsidRPr="0053222F">
          <w:rPr>
            <w:rStyle w:val="Hyperlink"/>
            <w:noProof/>
          </w:rPr>
          <w:t>1</w:t>
        </w:r>
        <w:r w:rsidR="0016304F">
          <w:rPr>
            <w:rFonts w:asciiTheme="minorHAnsi" w:eastAsiaTheme="minorEastAsia" w:hAnsiTheme="minorHAnsi" w:cstheme="minorBidi"/>
            <w:noProof/>
            <w:sz w:val="22"/>
            <w:szCs w:val="22"/>
            <w:lang w:val="nl-NL" w:eastAsia="nl-NL"/>
          </w:rPr>
          <w:tab/>
        </w:r>
        <w:r w:rsidR="0016304F" w:rsidRPr="0053222F">
          <w:rPr>
            <w:rStyle w:val="Hyperlink"/>
            <w:noProof/>
          </w:rPr>
          <w:t>Summary of the overall situation and challenges</w:t>
        </w:r>
        <w:r w:rsidR="0016304F">
          <w:rPr>
            <w:noProof/>
            <w:webHidden/>
          </w:rPr>
          <w:tab/>
        </w:r>
        <w:r w:rsidR="0016304F">
          <w:rPr>
            <w:noProof/>
            <w:webHidden/>
          </w:rPr>
          <w:fldChar w:fldCharType="begin"/>
        </w:r>
        <w:r w:rsidR="0016304F">
          <w:rPr>
            <w:noProof/>
            <w:webHidden/>
          </w:rPr>
          <w:instrText xml:space="preserve"> PAGEREF _Toc511056630 \h </w:instrText>
        </w:r>
        <w:r w:rsidR="0016304F">
          <w:rPr>
            <w:noProof/>
            <w:webHidden/>
          </w:rPr>
        </w:r>
        <w:r w:rsidR="0016304F">
          <w:rPr>
            <w:noProof/>
            <w:webHidden/>
          </w:rPr>
          <w:fldChar w:fldCharType="separate"/>
        </w:r>
        <w:r w:rsidR="0016304F">
          <w:rPr>
            <w:noProof/>
            <w:webHidden/>
          </w:rPr>
          <w:t>2</w:t>
        </w:r>
        <w:r w:rsidR="0016304F">
          <w:rPr>
            <w:noProof/>
            <w:webHidden/>
          </w:rPr>
          <w:fldChar w:fldCharType="end"/>
        </w:r>
      </w:hyperlink>
    </w:p>
    <w:p w14:paraId="0D8ED074" w14:textId="256D7DA0"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31" w:history="1">
        <w:r w:rsidRPr="0053222F">
          <w:rPr>
            <w:rStyle w:val="Hyperlink"/>
            <w:noProof/>
          </w:rPr>
          <w:t>2</w:t>
        </w:r>
        <w:r>
          <w:rPr>
            <w:rFonts w:asciiTheme="minorHAnsi" w:eastAsiaTheme="minorEastAsia" w:hAnsiTheme="minorHAnsi" w:cstheme="minorBidi"/>
            <w:noProof/>
            <w:sz w:val="22"/>
            <w:szCs w:val="22"/>
            <w:lang w:val="nl-NL" w:eastAsia="nl-NL"/>
          </w:rPr>
          <w:tab/>
        </w:r>
        <w:r w:rsidRPr="0053222F">
          <w:rPr>
            <w:rStyle w:val="Hyperlink"/>
            <w:noProof/>
          </w:rPr>
          <w:t>Assessment of the situation of disabled people with respect to the Europe 2020 headline targets</w:t>
        </w:r>
        <w:r>
          <w:rPr>
            <w:noProof/>
            <w:webHidden/>
          </w:rPr>
          <w:tab/>
        </w:r>
        <w:r>
          <w:rPr>
            <w:noProof/>
            <w:webHidden/>
          </w:rPr>
          <w:fldChar w:fldCharType="begin"/>
        </w:r>
        <w:r>
          <w:rPr>
            <w:noProof/>
            <w:webHidden/>
          </w:rPr>
          <w:instrText xml:space="preserve"> PAGEREF _Toc511056631 \h </w:instrText>
        </w:r>
        <w:r>
          <w:rPr>
            <w:noProof/>
            <w:webHidden/>
          </w:rPr>
        </w:r>
        <w:r>
          <w:rPr>
            <w:noProof/>
            <w:webHidden/>
          </w:rPr>
          <w:fldChar w:fldCharType="separate"/>
        </w:r>
        <w:r>
          <w:rPr>
            <w:noProof/>
            <w:webHidden/>
          </w:rPr>
          <w:t>3</w:t>
        </w:r>
        <w:r>
          <w:rPr>
            <w:noProof/>
            <w:webHidden/>
          </w:rPr>
          <w:fldChar w:fldCharType="end"/>
        </w:r>
      </w:hyperlink>
    </w:p>
    <w:p w14:paraId="3ADFBD12" w14:textId="4DFC4FAD"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32" w:history="1">
        <w:r w:rsidRPr="0053222F">
          <w:rPr>
            <w:rStyle w:val="Hyperlink"/>
            <w:noProof/>
          </w:rPr>
          <w:t>2.1</w:t>
        </w:r>
        <w:r>
          <w:rPr>
            <w:rFonts w:asciiTheme="minorHAnsi" w:eastAsiaTheme="minorEastAsia" w:hAnsiTheme="minorHAnsi" w:cstheme="minorBidi"/>
            <w:noProof/>
            <w:sz w:val="22"/>
            <w:szCs w:val="22"/>
            <w:lang w:val="nl-NL" w:eastAsia="nl-NL"/>
          </w:rPr>
          <w:tab/>
        </w:r>
        <w:r w:rsidRPr="0053222F">
          <w:rPr>
            <w:rStyle w:val="Hyperlink"/>
            <w:noProof/>
          </w:rPr>
          <w:t>Strategic targets</w:t>
        </w:r>
        <w:r>
          <w:rPr>
            <w:noProof/>
            <w:webHidden/>
          </w:rPr>
          <w:tab/>
        </w:r>
        <w:r>
          <w:rPr>
            <w:noProof/>
            <w:webHidden/>
          </w:rPr>
          <w:fldChar w:fldCharType="begin"/>
        </w:r>
        <w:r>
          <w:rPr>
            <w:noProof/>
            <w:webHidden/>
          </w:rPr>
          <w:instrText xml:space="preserve"> PAGEREF _Toc511056632 \h </w:instrText>
        </w:r>
        <w:r>
          <w:rPr>
            <w:noProof/>
            <w:webHidden/>
          </w:rPr>
        </w:r>
        <w:r>
          <w:rPr>
            <w:noProof/>
            <w:webHidden/>
          </w:rPr>
          <w:fldChar w:fldCharType="separate"/>
        </w:r>
        <w:r>
          <w:rPr>
            <w:noProof/>
            <w:webHidden/>
          </w:rPr>
          <w:t>3</w:t>
        </w:r>
        <w:r>
          <w:rPr>
            <w:noProof/>
            <w:webHidden/>
          </w:rPr>
          <w:fldChar w:fldCharType="end"/>
        </w:r>
      </w:hyperlink>
    </w:p>
    <w:p w14:paraId="34652798" w14:textId="1FF17724" w:rsidR="0016304F" w:rsidRDefault="0016304F">
      <w:pPr>
        <w:pStyle w:val="TOC3"/>
        <w:tabs>
          <w:tab w:val="left" w:pos="1985"/>
          <w:tab w:val="right" w:leader="dot" w:pos="9016"/>
        </w:tabs>
        <w:rPr>
          <w:rFonts w:asciiTheme="minorHAnsi" w:eastAsiaTheme="minorEastAsia" w:hAnsiTheme="minorHAnsi" w:cstheme="minorBidi"/>
          <w:noProof/>
          <w:sz w:val="22"/>
          <w:szCs w:val="22"/>
          <w:lang w:val="nl-NL" w:eastAsia="nl-NL"/>
        </w:rPr>
      </w:pPr>
      <w:hyperlink w:anchor="_Toc511056633" w:history="1">
        <w:r w:rsidRPr="0053222F">
          <w:rPr>
            <w:rStyle w:val="Hyperlink"/>
            <w:noProof/>
          </w:rPr>
          <w:t>2.1.1</w:t>
        </w:r>
        <w:r>
          <w:rPr>
            <w:rFonts w:asciiTheme="minorHAnsi" w:eastAsiaTheme="minorEastAsia" w:hAnsiTheme="minorHAnsi" w:cstheme="minorBidi"/>
            <w:noProof/>
            <w:sz w:val="22"/>
            <w:szCs w:val="22"/>
            <w:lang w:val="nl-NL" w:eastAsia="nl-NL"/>
          </w:rPr>
          <w:tab/>
        </w:r>
        <w:r w:rsidRPr="0053222F">
          <w:rPr>
            <w:rStyle w:val="Hyperlink"/>
            <w:noProof/>
          </w:rPr>
          <w:t>A note on the use of EU data</w:t>
        </w:r>
        <w:r>
          <w:rPr>
            <w:noProof/>
            <w:webHidden/>
          </w:rPr>
          <w:tab/>
        </w:r>
        <w:r>
          <w:rPr>
            <w:noProof/>
            <w:webHidden/>
          </w:rPr>
          <w:fldChar w:fldCharType="begin"/>
        </w:r>
        <w:r>
          <w:rPr>
            <w:noProof/>
            <w:webHidden/>
          </w:rPr>
          <w:instrText xml:space="preserve"> PAGEREF _Toc511056633 \h </w:instrText>
        </w:r>
        <w:r>
          <w:rPr>
            <w:noProof/>
            <w:webHidden/>
          </w:rPr>
        </w:r>
        <w:r>
          <w:rPr>
            <w:noProof/>
            <w:webHidden/>
          </w:rPr>
          <w:fldChar w:fldCharType="separate"/>
        </w:r>
        <w:r>
          <w:rPr>
            <w:noProof/>
            <w:webHidden/>
          </w:rPr>
          <w:t>5</w:t>
        </w:r>
        <w:r>
          <w:rPr>
            <w:noProof/>
            <w:webHidden/>
          </w:rPr>
          <w:fldChar w:fldCharType="end"/>
        </w:r>
      </w:hyperlink>
    </w:p>
    <w:p w14:paraId="27ACB3B5" w14:textId="43F7EDAA"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34" w:history="1">
        <w:r w:rsidRPr="0053222F">
          <w:rPr>
            <w:rStyle w:val="Hyperlink"/>
            <w:noProof/>
          </w:rPr>
          <w:t>2.2</w:t>
        </w:r>
        <w:r>
          <w:rPr>
            <w:rFonts w:asciiTheme="minorHAnsi" w:eastAsiaTheme="minorEastAsia" w:hAnsiTheme="minorHAnsi" w:cstheme="minorBidi"/>
            <w:noProof/>
            <w:sz w:val="22"/>
            <w:szCs w:val="22"/>
            <w:lang w:val="nl-NL" w:eastAsia="nl-NL"/>
          </w:rPr>
          <w:tab/>
        </w:r>
        <w:r w:rsidRPr="0053222F">
          <w:rPr>
            <w:rStyle w:val="Hyperlink"/>
            <w:noProof/>
          </w:rPr>
          <w:t>Employment data</w:t>
        </w:r>
        <w:r>
          <w:rPr>
            <w:noProof/>
            <w:webHidden/>
          </w:rPr>
          <w:tab/>
        </w:r>
        <w:r>
          <w:rPr>
            <w:noProof/>
            <w:webHidden/>
          </w:rPr>
          <w:fldChar w:fldCharType="begin"/>
        </w:r>
        <w:r>
          <w:rPr>
            <w:noProof/>
            <w:webHidden/>
          </w:rPr>
          <w:instrText xml:space="preserve"> PAGEREF _Toc511056634 \h </w:instrText>
        </w:r>
        <w:r>
          <w:rPr>
            <w:noProof/>
            <w:webHidden/>
          </w:rPr>
        </w:r>
        <w:r>
          <w:rPr>
            <w:noProof/>
            <w:webHidden/>
          </w:rPr>
          <w:fldChar w:fldCharType="separate"/>
        </w:r>
        <w:r>
          <w:rPr>
            <w:noProof/>
            <w:webHidden/>
          </w:rPr>
          <w:t>6</w:t>
        </w:r>
        <w:r>
          <w:rPr>
            <w:noProof/>
            <w:webHidden/>
          </w:rPr>
          <w:fldChar w:fldCharType="end"/>
        </w:r>
      </w:hyperlink>
    </w:p>
    <w:p w14:paraId="2776F727" w14:textId="5EA05503" w:rsidR="0016304F" w:rsidRDefault="0016304F">
      <w:pPr>
        <w:pStyle w:val="TOC3"/>
        <w:tabs>
          <w:tab w:val="left" w:pos="1985"/>
          <w:tab w:val="right" w:leader="dot" w:pos="9016"/>
        </w:tabs>
        <w:rPr>
          <w:rFonts w:asciiTheme="minorHAnsi" w:eastAsiaTheme="minorEastAsia" w:hAnsiTheme="minorHAnsi" w:cstheme="minorBidi"/>
          <w:noProof/>
          <w:sz w:val="22"/>
          <w:szCs w:val="22"/>
          <w:lang w:val="nl-NL" w:eastAsia="nl-NL"/>
        </w:rPr>
      </w:pPr>
      <w:hyperlink w:anchor="_Toc511056635" w:history="1">
        <w:r w:rsidRPr="0053222F">
          <w:rPr>
            <w:rStyle w:val="Hyperlink"/>
            <w:noProof/>
          </w:rPr>
          <w:t>2.2.1</w:t>
        </w:r>
        <w:r>
          <w:rPr>
            <w:rFonts w:asciiTheme="minorHAnsi" w:eastAsiaTheme="minorEastAsia" w:hAnsiTheme="minorHAnsi" w:cstheme="minorBidi"/>
            <w:noProof/>
            <w:sz w:val="22"/>
            <w:szCs w:val="22"/>
            <w:lang w:val="nl-NL" w:eastAsia="nl-NL"/>
          </w:rPr>
          <w:tab/>
        </w:r>
        <w:r w:rsidRPr="0053222F">
          <w:rPr>
            <w:rStyle w:val="Hyperlink"/>
            <w:noProof/>
          </w:rPr>
          <w:t>Unemployment</w:t>
        </w:r>
        <w:r>
          <w:rPr>
            <w:noProof/>
            <w:webHidden/>
          </w:rPr>
          <w:tab/>
        </w:r>
        <w:r>
          <w:rPr>
            <w:noProof/>
            <w:webHidden/>
          </w:rPr>
          <w:fldChar w:fldCharType="begin"/>
        </w:r>
        <w:r>
          <w:rPr>
            <w:noProof/>
            <w:webHidden/>
          </w:rPr>
          <w:instrText xml:space="preserve"> PAGEREF _Toc511056635 \h </w:instrText>
        </w:r>
        <w:r>
          <w:rPr>
            <w:noProof/>
            <w:webHidden/>
          </w:rPr>
        </w:r>
        <w:r>
          <w:rPr>
            <w:noProof/>
            <w:webHidden/>
          </w:rPr>
          <w:fldChar w:fldCharType="separate"/>
        </w:r>
        <w:r>
          <w:rPr>
            <w:noProof/>
            <w:webHidden/>
          </w:rPr>
          <w:t>10</w:t>
        </w:r>
        <w:r>
          <w:rPr>
            <w:noProof/>
            <w:webHidden/>
          </w:rPr>
          <w:fldChar w:fldCharType="end"/>
        </w:r>
      </w:hyperlink>
    </w:p>
    <w:p w14:paraId="19F46930" w14:textId="1E2D0125" w:rsidR="0016304F" w:rsidRDefault="0016304F">
      <w:pPr>
        <w:pStyle w:val="TOC3"/>
        <w:tabs>
          <w:tab w:val="left" w:pos="1985"/>
          <w:tab w:val="right" w:leader="dot" w:pos="9016"/>
        </w:tabs>
        <w:rPr>
          <w:rFonts w:asciiTheme="minorHAnsi" w:eastAsiaTheme="minorEastAsia" w:hAnsiTheme="minorHAnsi" w:cstheme="minorBidi"/>
          <w:noProof/>
          <w:sz w:val="22"/>
          <w:szCs w:val="22"/>
          <w:lang w:val="nl-NL" w:eastAsia="nl-NL"/>
        </w:rPr>
      </w:pPr>
      <w:hyperlink w:anchor="_Toc511056636" w:history="1">
        <w:r w:rsidRPr="0053222F">
          <w:rPr>
            <w:rStyle w:val="Hyperlink"/>
            <w:noProof/>
          </w:rPr>
          <w:t>2.2.2</w:t>
        </w:r>
        <w:r>
          <w:rPr>
            <w:rFonts w:asciiTheme="minorHAnsi" w:eastAsiaTheme="minorEastAsia" w:hAnsiTheme="minorHAnsi" w:cstheme="minorBidi"/>
            <w:noProof/>
            <w:sz w:val="22"/>
            <w:szCs w:val="22"/>
            <w:lang w:val="nl-NL" w:eastAsia="nl-NL"/>
          </w:rPr>
          <w:tab/>
        </w:r>
        <w:r w:rsidRPr="0053222F">
          <w:rPr>
            <w:rStyle w:val="Hyperlink"/>
            <w:noProof/>
          </w:rPr>
          <w:t>Economic activity</w:t>
        </w:r>
        <w:r>
          <w:rPr>
            <w:noProof/>
            <w:webHidden/>
          </w:rPr>
          <w:tab/>
        </w:r>
        <w:r>
          <w:rPr>
            <w:noProof/>
            <w:webHidden/>
          </w:rPr>
          <w:fldChar w:fldCharType="begin"/>
        </w:r>
        <w:r>
          <w:rPr>
            <w:noProof/>
            <w:webHidden/>
          </w:rPr>
          <w:instrText xml:space="preserve"> PAGEREF _Toc511056636 \h </w:instrText>
        </w:r>
        <w:r>
          <w:rPr>
            <w:noProof/>
            <w:webHidden/>
          </w:rPr>
        </w:r>
        <w:r>
          <w:rPr>
            <w:noProof/>
            <w:webHidden/>
          </w:rPr>
          <w:fldChar w:fldCharType="separate"/>
        </w:r>
        <w:r>
          <w:rPr>
            <w:noProof/>
            <w:webHidden/>
          </w:rPr>
          <w:t>12</w:t>
        </w:r>
        <w:r>
          <w:rPr>
            <w:noProof/>
            <w:webHidden/>
          </w:rPr>
          <w:fldChar w:fldCharType="end"/>
        </w:r>
      </w:hyperlink>
    </w:p>
    <w:p w14:paraId="50741DFE" w14:textId="64DEFB69"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37" w:history="1">
        <w:r w:rsidRPr="0053222F">
          <w:rPr>
            <w:rStyle w:val="Hyperlink"/>
            <w:noProof/>
          </w:rPr>
          <w:t>2.3</w:t>
        </w:r>
        <w:r>
          <w:rPr>
            <w:rFonts w:asciiTheme="minorHAnsi" w:eastAsiaTheme="minorEastAsia" w:hAnsiTheme="minorHAnsi" w:cstheme="minorBidi"/>
            <w:noProof/>
            <w:sz w:val="22"/>
            <w:szCs w:val="22"/>
            <w:lang w:val="nl-NL" w:eastAsia="nl-NL"/>
          </w:rPr>
          <w:tab/>
        </w:r>
        <w:r w:rsidRPr="0053222F">
          <w:rPr>
            <w:rStyle w:val="Hyperlink"/>
            <w:noProof/>
          </w:rPr>
          <w:t>Education data</w:t>
        </w:r>
        <w:r>
          <w:rPr>
            <w:noProof/>
            <w:webHidden/>
          </w:rPr>
          <w:tab/>
        </w:r>
        <w:r>
          <w:rPr>
            <w:noProof/>
            <w:webHidden/>
          </w:rPr>
          <w:fldChar w:fldCharType="begin"/>
        </w:r>
        <w:r>
          <w:rPr>
            <w:noProof/>
            <w:webHidden/>
          </w:rPr>
          <w:instrText xml:space="preserve"> PAGEREF _Toc511056637 \h </w:instrText>
        </w:r>
        <w:r>
          <w:rPr>
            <w:noProof/>
            <w:webHidden/>
          </w:rPr>
        </w:r>
        <w:r>
          <w:rPr>
            <w:noProof/>
            <w:webHidden/>
          </w:rPr>
          <w:fldChar w:fldCharType="separate"/>
        </w:r>
        <w:r>
          <w:rPr>
            <w:noProof/>
            <w:webHidden/>
          </w:rPr>
          <w:t>14</w:t>
        </w:r>
        <w:r>
          <w:rPr>
            <w:noProof/>
            <w:webHidden/>
          </w:rPr>
          <w:fldChar w:fldCharType="end"/>
        </w:r>
      </w:hyperlink>
    </w:p>
    <w:p w14:paraId="11AF8506" w14:textId="697CBB01" w:rsidR="0016304F" w:rsidRDefault="0016304F">
      <w:pPr>
        <w:pStyle w:val="TOC3"/>
        <w:tabs>
          <w:tab w:val="left" w:pos="1985"/>
          <w:tab w:val="right" w:leader="dot" w:pos="9016"/>
        </w:tabs>
        <w:rPr>
          <w:rFonts w:asciiTheme="minorHAnsi" w:eastAsiaTheme="minorEastAsia" w:hAnsiTheme="minorHAnsi" w:cstheme="minorBidi"/>
          <w:noProof/>
          <w:sz w:val="22"/>
          <w:szCs w:val="22"/>
          <w:lang w:val="nl-NL" w:eastAsia="nl-NL"/>
        </w:rPr>
      </w:pPr>
      <w:hyperlink w:anchor="_Toc511056638" w:history="1">
        <w:r w:rsidRPr="0053222F">
          <w:rPr>
            <w:rStyle w:val="Hyperlink"/>
            <w:noProof/>
          </w:rPr>
          <w:t>2.3.1</w:t>
        </w:r>
        <w:r>
          <w:rPr>
            <w:rFonts w:asciiTheme="minorHAnsi" w:eastAsiaTheme="minorEastAsia" w:hAnsiTheme="minorHAnsi" w:cstheme="minorBidi"/>
            <w:noProof/>
            <w:sz w:val="22"/>
            <w:szCs w:val="22"/>
            <w:lang w:val="nl-NL" w:eastAsia="nl-NL"/>
          </w:rPr>
          <w:tab/>
        </w:r>
        <w:r w:rsidRPr="0053222F">
          <w:rPr>
            <w:rStyle w:val="Hyperlink"/>
            <w:noProof/>
          </w:rPr>
          <w:t>Early school leavers</w:t>
        </w:r>
        <w:r>
          <w:rPr>
            <w:noProof/>
            <w:webHidden/>
          </w:rPr>
          <w:tab/>
        </w:r>
        <w:r>
          <w:rPr>
            <w:noProof/>
            <w:webHidden/>
          </w:rPr>
          <w:fldChar w:fldCharType="begin"/>
        </w:r>
        <w:r>
          <w:rPr>
            <w:noProof/>
            <w:webHidden/>
          </w:rPr>
          <w:instrText xml:space="preserve"> PAGEREF _Toc511056638 \h </w:instrText>
        </w:r>
        <w:r>
          <w:rPr>
            <w:noProof/>
            <w:webHidden/>
          </w:rPr>
        </w:r>
        <w:r>
          <w:rPr>
            <w:noProof/>
            <w:webHidden/>
          </w:rPr>
          <w:fldChar w:fldCharType="separate"/>
        </w:r>
        <w:r>
          <w:rPr>
            <w:noProof/>
            <w:webHidden/>
          </w:rPr>
          <w:t>15</w:t>
        </w:r>
        <w:r>
          <w:rPr>
            <w:noProof/>
            <w:webHidden/>
          </w:rPr>
          <w:fldChar w:fldCharType="end"/>
        </w:r>
      </w:hyperlink>
    </w:p>
    <w:p w14:paraId="158EF24D" w14:textId="65DFC9A5" w:rsidR="0016304F" w:rsidRDefault="0016304F">
      <w:pPr>
        <w:pStyle w:val="TOC3"/>
        <w:tabs>
          <w:tab w:val="left" w:pos="1985"/>
          <w:tab w:val="right" w:leader="dot" w:pos="9016"/>
        </w:tabs>
        <w:rPr>
          <w:rFonts w:asciiTheme="minorHAnsi" w:eastAsiaTheme="minorEastAsia" w:hAnsiTheme="minorHAnsi" w:cstheme="minorBidi"/>
          <w:noProof/>
          <w:sz w:val="22"/>
          <w:szCs w:val="22"/>
          <w:lang w:val="nl-NL" w:eastAsia="nl-NL"/>
        </w:rPr>
      </w:pPr>
      <w:hyperlink w:anchor="_Toc511056639" w:history="1">
        <w:r w:rsidRPr="0053222F">
          <w:rPr>
            <w:rStyle w:val="Hyperlink"/>
            <w:noProof/>
          </w:rPr>
          <w:t>2.3.2</w:t>
        </w:r>
        <w:r>
          <w:rPr>
            <w:rFonts w:asciiTheme="minorHAnsi" w:eastAsiaTheme="minorEastAsia" w:hAnsiTheme="minorHAnsi" w:cstheme="minorBidi"/>
            <w:noProof/>
            <w:sz w:val="22"/>
            <w:szCs w:val="22"/>
            <w:lang w:val="nl-NL" w:eastAsia="nl-NL"/>
          </w:rPr>
          <w:tab/>
        </w:r>
        <w:r w:rsidRPr="0053222F">
          <w:rPr>
            <w:rStyle w:val="Hyperlink"/>
            <w:noProof/>
          </w:rPr>
          <w:t>Tertiary education</w:t>
        </w:r>
        <w:r>
          <w:rPr>
            <w:noProof/>
            <w:webHidden/>
          </w:rPr>
          <w:tab/>
        </w:r>
        <w:r>
          <w:rPr>
            <w:noProof/>
            <w:webHidden/>
          </w:rPr>
          <w:fldChar w:fldCharType="begin"/>
        </w:r>
        <w:r>
          <w:rPr>
            <w:noProof/>
            <w:webHidden/>
          </w:rPr>
          <w:instrText xml:space="preserve"> PAGEREF _Toc511056639 \h </w:instrText>
        </w:r>
        <w:r>
          <w:rPr>
            <w:noProof/>
            <w:webHidden/>
          </w:rPr>
        </w:r>
        <w:r>
          <w:rPr>
            <w:noProof/>
            <w:webHidden/>
          </w:rPr>
          <w:fldChar w:fldCharType="separate"/>
        </w:r>
        <w:r>
          <w:rPr>
            <w:noProof/>
            <w:webHidden/>
          </w:rPr>
          <w:t>17</w:t>
        </w:r>
        <w:r>
          <w:rPr>
            <w:noProof/>
            <w:webHidden/>
          </w:rPr>
          <w:fldChar w:fldCharType="end"/>
        </w:r>
      </w:hyperlink>
    </w:p>
    <w:p w14:paraId="27F23383" w14:textId="232E9F63"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0" w:history="1">
        <w:r w:rsidRPr="0053222F">
          <w:rPr>
            <w:rStyle w:val="Hyperlink"/>
            <w:noProof/>
          </w:rPr>
          <w:t>2.4</w:t>
        </w:r>
        <w:r>
          <w:rPr>
            <w:rFonts w:asciiTheme="minorHAnsi" w:eastAsiaTheme="minorEastAsia" w:hAnsiTheme="minorHAnsi" w:cstheme="minorBidi"/>
            <w:noProof/>
            <w:sz w:val="22"/>
            <w:szCs w:val="22"/>
            <w:lang w:val="nl-NL" w:eastAsia="nl-NL"/>
          </w:rPr>
          <w:tab/>
        </w:r>
        <w:r w:rsidRPr="0053222F">
          <w:rPr>
            <w:rStyle w:val="Hyperlink"/>
            <w:noProof/>
          </w:rPr>
          <w:t>Poverty and social exclusion data</w:t>
        </w:r>
        <w:r>
          <w:rPr>
            <w:noProof/>
            <w:webHidden/>
          </w:rPr>
          <w:tab/>
        </w:r>
        <w:r>
          <w:rPr>
            <w:noProof/>
            <w:webHidden/>
          </w:rPr>
          <w:fldChar w:fldCharType="begin"/>
        </w:r>
        <w:r>
          <w:rPr>
            <w:noProof/>
            <w:webHidden/>
          </w:rPr>
          <w:instrText xml:space="preserve"> PAGEREF _Toc511056640 \h </w:instrText>
        </w:r>
        <w:r>
          <w:rPr>
            <w:noProof/>
            <w:webHidden/>
          </w:rPr>
        </w:r>
        <w:r>
          <w:rPr>
            <w:noProof/>
            <w:webHidden/>
          </w:rPr>
          <w:fldChar w:fldCharType="separate"/>
        </w:r>
        <w:r>
          <w:rPr>
            <w:noProof/>
            <w:webHidden/>
          </w:rPr>
          <w:t>19</w:t>
        </w:r>
        <w:r>
          <w:rPr>
            <w:noProof/>
            <w:webHidden/>
          </w:rPr>
          <w:fldChar w:fldCharType="end"/>
        </w:r>
      </w:hyperlink>
    </w:p>
    <w:p w14:paraId="11AF03A2" w14:textId="54BD5ECF"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41" w:history="1">
        <w:r w:rsidRPr="0053222F">
          <w:rPr>
            <w:rStyle w:val="Hyperlink"/>
            <w:noProof/>
          </w:rPr>
          <w:t>3</w:t>
        </w:r>
        <w:r>
          <w:rPr>
            <w:rFonts w:asciiTheme="minorHAnsi" w:eastAsiaTheme="minorEastAsia" w:hAnsiTheme="minorHAnsi" w:cstheme="minorBidi"/>
            <w:noProof/>
            <w:sz w:val="22"/>
            <w:szCs w:val="22"/>
            <w:lang w:val="nl-NL" w:eastAsia="nl-NL"/>
          </w:rPr>
          <w:tab/>
        </w:r>
        <w:r w:rsidRPr="0053222F">
          <w:rPr>
            <w:rStyle w:val="Hyperlink"/>
            <w:noProof/>
          </w:rPr>
          <w:t>Description of the situation and trends in relation to each target area</w:t>
        </w:r>
        <w:r>
          <w:rPr>
            <w:noProof/>
            <w:webHidden/>
          </w:rPr>
          <w:tab/>
        </w:r>
        <w:r>
          <w:rPr>
            <w:noProof/>
            <w:webHidden/>
          </w:rPr>
          <w:fldChar w:fldCharType="begin"/>
        </w:r>
        <w:r>
          <w:rPr>
            <w:noProof/>
            <w:webHidden/>
          </w:rPr>
          <w:instrText xml:space="preserve"> PAGEREF _Toc511056641 \h </w:instrText>
        </w:r>
        <w:r>
          <w:rPr>
            <w:noProof/>
            <w:webHidden/>
          </w:rPr>
        </w:r>
        <w:r>
          <w:rPr>
            <w:noProof/>
            <w:webHidden/>
          </w:rPr>
          <w:fldChar w:fldCharType="separate"/>
        </w:r>
        <w:r>
          <w:rPr>
            <w:noProof/>
            <w:webHidden/>
          </w:rPr>
          <w:t>23</w:t>
        </w:r>
        <w:r>
          <w:rPr>
            <w:noProof/>
            <w:webHidden/>
          </w:rPr>
          <w:fldChar w:fldCharType="end"/>
        </w:r>
      </w:hyperlink>
    </w:p>
    <w:p w14:paraId="022B0591" w14:textId="4BB73506"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2" w:history="1">
        <w:r w:rsidRPr="0053222F">
          <w:rPr>
            <w:rStyle w:val="Hyperlink"/>
            <w:noProof/>
          </w:rPr>
          <w:t>3.1</w:t>
        </w:r>
        <w:r>
          <w:rPr>
            <w:rFonts w:asciiTheme="minorHAnsi" w:eastAsiaTheme="minorEastAsia" w:hAnsiTheme="minorHAnsi" w:cstheme="minorBidi"/>
            <w:noProof/>
            <w:sz w:val="22"/>
            <w:szCs w:val="22"/>
            <w:lang w:val="nl-NL" w:eastAsia="nl-NL"/>
          </w:rPr>
          <w:tab/>
        </w:r>
        <w:r w:rsidRPr="0053222F">
          <w:rPr>
            <w:rStyle w:val="Hyperlink"/>
            <w:noProof/>
          </w:rPr>
          <w:t>Employment</w:t>
        </w:r>
        <w:r>
          <w:rPr>
            <w:noProof/>
            <w:webHidden/>
          </w:rPr>
          <w:tab/>
        </w:r>
        <w:r>
          <w:rPr>
            <w:noProof/>
            <w:webHidden/>
          </w:rPr>
          <w:fldChar w:fldCharType="begin"/>
        </w:r>
        <w:r>
          <w:rPr>
            <w:noProof/>
            <w:webHidden/>
          </w:rPr>
          <w:instrText xml:space="preserve"> PAGEREF _Toc511056642 \h </w:instrText>
        </w:r>
        <w:r>
          <w:rPr>
            <w:noProof/>
            <w:webHidden/>
          </w:rPr>
        </w:r>
        <w:r>
          <w:rPr>
            <w:noProof/>
            <w:webHidden/>
          </w:rPr>
          <w:fldChar w:fldCharType="separate"/>
        </w:r>
        <w:r>
          <w:rPr>
            <w:noProof/>
            <w:webHidden/>
          </w:rPr>
          <w:t>23</w:t>
        </w:r>
        <w:r>
          <w:rPr>
            <w:noProof/>
            <w:webHidden/>
          </w:rPr>
          <w:fldChar w:fldCharType="end"/>
        </w:r>
      </w:hyperlink>
    </w:p>
    <w:p w14:paraId="4781497E" w14:textId="1C2E1E50"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3" w:history="1">
        <w:r w:rsidRPr="0053222F">
          <w:rPr>
            <w:rStyle w:val="Hyperlink"/>
            <w:noProof/>
          </w:rPr>
          <w:t>3.2</w:t>
        </w:r>
        <w:r>
          <w:rPr>
            <w:rFonts w:asciiTheme="minorHAnsi" w:eastAsiaTheme="minorEastAsia" w:hAnsiTheme="minorHAnsi" w:cstheme="minorBidi"/>
            <w:noProof/>
            <w:sz w:val="22"/>
            <w:szCs w:val="22"/>
            <w:lang w:val="nl-NL" w:eastAsia="nl-NL"/>
          </w:rPr>
          <w:tab/>
        </w:r>
        <w:r w:rsidRPr="0053222F">
          <w:rPr>
            <w:rStyle w:val="Hyperlink"/>
            <w:noProof/>
          </w:rPr>
          <w:t>Education</w:t>
        </w:r>
        <w:r>
          <w:rPr>
            <w:noProof/>
            <w:webHidden/>
          </w:rPr>
          <w:tab/>
        </w:r>
        <w:r>
          <w:rPr>
            <w:noProof/>
            <w:webHidden/>
          </w:rPr>
          <w:fldChar w:fldCharType="begin"/>
        </w:r>
        <w:r>
          <w:rPr>
            <w:noProof/>
            <w:webHidden/>
          </w:rPr>
          <w:instrText xml:space="preserve"> PAGEREF _Toc511056643 \h </w:instrText>
        </w:r>
        <w:r>
          <w:rPr>
            <w:noProof/>
            <w:webHidden/>
          </w:rPr>
        </w:r>
        <w:r>
          <w:rPr>
            <w:noProof/>
            <w:webHidden/>
          </w:rPr>
          <w:fldChar w:fldCharType="separate"/>
        </w:r>
        <w:r>
          <w:rPr>
            <w:noProof/>
            <w:webHidden/>
          </w:rPr>
          <w:t>24</w:t>
        </w:r>
        <w:r>
          <w:rPr>
            <w:noProof/>
            <w:webHidden/>
          </w:rPr>
          <w:fldChar w:fldCharType="end"/>
        </w:r>
      </w:hyperlink>
    </w:p>
    <w:p w14:paraId="45ED3AFF" w14:textId="08B4825C"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4" w:history="1">
        <w:r w:rsidRPr="0053222F">
          <w:rPr>
            <w:rStyle w:val="Hyperlink"/>
            <w:noProof/>
          </w:rPr>
          <w:t>3.3</w:t>
        </w:r>
        <w:r>
          <w:rPr>
            <w:rFonts w:asciiTheme="minorHAnsi" w:eastAsiaTheme="minorEastAsia" w:hAnsiTheme="minorHAnsi" w:cstheme="minorBidi"/>
            <w:noProof/>
            <w:sz w:val="22"/>
            <w:szCs w:val="22"/>
            <w:lang w:val="nl-NL" w:eastAsia="nl-NL"/>
          </w:rPr>
          <w:tab/>
        </w:r>
        <w:r w:rsidRPr="0053222F">
          <w:rPr>
            <w:rStyle w:val="Hyperlink"/>
            <w:noProof/>
          </w:rPr>
          <w:t>Poverty and social inclusion</w:t>
        </w:r>
        <w:r>
          <w:rPr>
            <w:noProof/>
            <w:webHidden/>
          </w:rPr>
          <w:tab/>
        </w:r>
        <w:r>
          <w:rPr>
            <w:noProof/>
            <w:webHidden/>
          </w:rPr>
          <w:fldChar w:fldCharType="begin"/>
        </w:r>
        <w:r>
          <w:rPr>
            <w:noProof/>
            <w:webHidden/>
          </w:rPr>
          <w:instrText xml:space="preserve"> PAGEREF _Toc511056644 \h </w:instrText>
        </w:r>
        <w:r>
          <w:rPr>
            <w:noProof/>
            <w:webHidden/>
          </w:rPr>
        </w:r>
        <w:r>
          <w:rPr>
            <w:noProof/>
            <w:webHidden/>
          </w:rPr>
          <w:fldChar w:fldCharType="separate"/>
        </w:r>
        <w:r>
          <w:rPr>
            <w:noProof/>
            <w:webHidden/>
          </w:rPr>
          <w:t>25</w:t>
        </w:r>
        <w:r>
          <w:rPr>
            <w:noProof/>
            <w:webHidden/>
          </w:rPr>
          <w:fldChar w:fldCharType="end"/>
        </w:r>
      </w:hyperlink>
    </w:p>
    <w:p w14:paraId="38FD1969" w14:textId="5A24E5AB"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45" w:history="1">
        <w:r w:rsidRPr="0053222F">
          <w:rPr>
            <w:rStyle w:val="Hyperlink"/>
            <w:noProof/>
            <w:lang w:eastAsia="en-GB"/>
          </w:rPr>
          <w:t>4</w:t>
        </w:r>
        <w:r>
          <w:rPr>
            <w:rFonts w:asciiTheme="minorHAnsi" w:eastAsiaTheme="minorEastAsia" w:hAnsiTheme="minorHAnsi" w:cstheme="minorBidi"/>
            <w:noProof/>
            <w:sz w:val="22"/>
            <w:szCs w:val="22"/>
            <w:lang w:val="nl-NL" w:eastAsia="nl-NL"/>
          </w:rPr>
          <w:tab/>
        </w:r>
        <w:r w:rsidRPr="0053222F">
          <w:rPr>
            <w:rStyle w:val="Hyperlink"/>
            <w:noProof/>
            <w:lang w:eastAsia="en-GB"/>
          </w:rPr>
          <w:t>Assessment of policies in place to meet the relevant headline targets</w:t>
        </w:r>
        <w:r>
          <w:rPr>
            <w:noProof/>
            <w:webHidden/>
          </w:rPr>
          <w:tab/>
        </w:r>
        <w:r>
          <w:rPr>
            <w:noProof/>
            <w:webHidden/>
          </w:rPr>
          <w:fldChar w:fldCharType="begin"/>
        </w:r>
        <w:r>
          <w:rPr>
            <w:noProof/>
            <w:webHidden/>
          </w:rPr>
          <w:instrText xml:space="preserve"> PAGEREF _Toc511056645 \h </w:instrText>
        </w:r>
        <w:r>
          <w:rPr>
            <w:noProof/>
            <w:webHidden/>
          </w:rPr>
        </w:r>
        <w:r>
          <w:rPr>
            <w:noProof/>
            <w:webHidden/>
          </w:rPr>
          <w:fldChar w:fldCharType="separate"/>
        </w:r>
        <w:r>
          <w:rPr>
            <w:noProof/>
            <w:webHidden/>
          </w:rPr>
          <w:t>28</w:t>
        </w:r>
        <w:r>
          <w:rPr>
            <w:noProof/>
            <w:webHidden/>
          </w:rPr>
          <w:fldChar w:fldCharType="end"/>
        </w:r>
      </w:hyperlink>
    </w:p>
    <w:p w14:paraId="60C4A3A4" w14:textId="6FFCE8BB"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6" w:history="1">
        <w:r w:rsidRPr="0053222F">
          <w:rPr>
            <w:rStyle w:val="Hyperlink"/>
            <w:noProof/>
          </w:rPr>
          <w:t>4.1</w:t>
        </w:r>
        <w:r>
          <w:rPr>
            <w:rFonts w:asciiTheme="minorHAnsi" w:eastAsiaTheme="minorEastAsia" w:hAnsiTheme="minorHAnsi" w:cstheme="minorBidi"/>
            <w:noProof/>
            <w:sz w:val="22"/>
            <w:szCs w:val="22"/>
            <w:lang w:val="nl-NL" w:eastAsia="nl-NL"/>
          </w:rPr>
          <w:tab/>
        </w:r>
        <w:r w:rsidRPr="0053222F">
          <w:rPr>
            <w:rStyle w:val="Hyperlink"/>
            <w:noProof/>
          </w:rPr>
          <w:t>Employment</w:t>
        </w:r>
        <w:r>
          <w:rPr>
            <w:noProof/>
            <w:webHidden/>
          </w:rPr>
          <w:tab/>
        </w:r>
        <w:r>
          <w:rPr>
            <w:noProof/>
            <w:webHidden/>
          </w:rPr>
          <w:fldChar w:fldCharType="begin"/>
        </w:r>
        <w:r>
          <w:rPr>
            <w:noProof/>
            <w:webHidden/>
          </w:rPr>
          <w:instrText xml:space="preserve"> PAGEREF _Toc511056646 \h </w:instrText>
        </w:r>
        <w:r>
          <w:rPr>
            <w:noProof/>
            <w:webHidden/>
          </w:rPr>
        </w:r>
        <w:r>
          <w:rPr>
            <w:noProof/>
            <w:webHidden/>
          </w:rPr>
          <w:fldChar w:fldCharType="separate"/>
        </w:r>
        <w:r>
          <w:rPr>
            <w:noProof/>
            <w:webHidden/>
          </w:rPr>
          <w:t>28</w:t>
        </w:r>
        <w:r>
          <w:rPr>
            <w:noProof/>
            <w:webHidden/>
          </w:rPr>
          <w:fldChar w:fldCharType="end"/>
        </w:r>
      </w:hyperlink>
    </w:p>
    <w:p w14:paraId="72C6A3E4" w14:textId="5E68F173"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7" w:history="1">
        <w:r w:rsidRPr="0053222F">
          <w:rPr>
            <w:rStyle w:val="Hyperlink"/>
            <w:noProof/>
          </w:rPr>
          <w:t>4.2</w:t>
        </w:r>
        <w:r>
          <w:rPr>
            <w:rFonts w:asciiTheme="minorHAnsi" w:eastAsiaTheme="minorEastAsia" w:hAnsiTheme="minorHAnsi" w:cstheme="minorBidi"/>
            <w:noProof/>
            <w:sz w:val="22"/>
            <w:szCs w:val="22"/>
            <w:lang w:val="nl-NL" w:eastAsia="nl-NL"/>
          </w:rPr>
          <w:tab/>
        </w:r>
        <w:r w:rsidRPr="0053222F">
          <w:rPr>
            <w:rStyle w:val="Hyperlink"/>
            <w:noProof/>
          </w:rPr>
          <w:t>Education</w:t>
        </w:r>
        <w:r>
          <w:rPr>
            <w:noProof/>
            <w:webHidden/>
          </w:rPr>
          <w:tab/>
        </w:r>
        <w:r>
          <w:rPr>
            <w:noProof/>
            <w:webHidden/>
          </w:rPr>
          <w:fldChar w:fldCharType="begin"/>
        </w:r>
        <w:r>
          <w:rPr>
            <w:noProof/>
            <w:webHidden/>
          </w:rPr>
          <w:instrText xml:space="preserve"> PAGEREF _Toc511056647 \h </w:instrText>
        </w:r>
        <w:r>
          <w:rPr>
            <w:noProof/>
            <w:webHidden/>
          </w:rPr>
        </w:r>
        <w:r>
          <w:rPr>
            <w:noProof/>
            <w:webHidden/>
          </w:rPr>
          <w:fldChar w:fldCharType="separate"/>
        </w:r>
        <w:r>
          <w:rPr>
            <w:noProof/>
            <w:webHidden/>
          </w:rPr>
          <w:t>30</w:t>
        </w:r>
        <w:r>
          <w:rPr>
            <w:noProof/>
            <w:webHidden/>
          </w:rPr>
          <w:fldChar w:fldCharType="end"/>
        </w:r>
      </w:hyperlink>
    </w:p>
    <w:p w14:paraId="498A4F73" w14:textId="3061733D"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8" w:history="1">
        <w:r w:rsidRPr="0053222F">
          <w:rPr>
            <w:rStyle w:val="Hyperlink"/>
            <w:noProof/>
          </w:rPr>
          <w:t>4.3</w:t>
        </w:r>
        <w:r>
          <w:rPr>
            <w:rFonts w:asciiTheme="minorHAnsi" w:eastAsiaTheme="minorEastAsia" w:hAnsiTheme="minorHAnsi" w:cstheme="minorBidi"/>
            <w:noProof/>
            <w:sz w:val="22"/>
            <w:szCs w:val="22"/>
            <w:lang w:val="nl-NL" w:eastAsia="nl-NL"/>
          </w:rPr>
          <w:tab/>
        </w:r>
        <w:r w:rsidRPr="0053222F">
          <w:rPr>
            <w:rStyle w:val="Hyperlink"/>
            <w:noProof/>
          </w:rPr>
          <w:t>Poverty and social inclusion</w:t>
        </w:r>
        <w:r>
          <w:rPr>
            <w:noProof/>
            <w:webHidden/>
          </w:rPr>
          <w:tab/>
        </w:r>
        <w:r>
          <w:rPr>
            <w:noProof/>
            <w:webHidden/>
          </w:rPr>
          <w:fldChar w:fldCharType="begin"/>
        </w:r>
        <w:r>
          <w:rPr>
            <w:noProof/>
            <w:webHidden/>
          </w:rPr>
          <w:instrText xml:space="preserve"> PAGEREF _Toc511056648 \h </w:instrText>
        </w:r>
        <w:r>
          <w:rPr>
            <w:noProof/>
            <w:webHidden/>
          </w:rPr>
        </w:r>
        <w:r>
          <w:rPr>
            <w:noProof/>
            <w:webHidden/>
          </w:rPr>
          <w:fldChar w:fldCharType="separate"/>
        </w:r>
        <w:r>
          <w:rPr>
            <w:noProof/>
            <w:webHidden/>
          </w:rPr>
          <w:t>35</w:t>
        </w:r>
        <w:r>
          <w:rPr>
            <w:noProof/>
            <w:webHidden/>
          </w:rPr>
          <w:fldChar w:fldCharType="end"/>
        </w:r>
      </w:hyperlink>
    </w:p>
    <w:p w14:paraId="5A16BEB9" w14:textId="7BB877FD"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49" w:history="1">
        <w:r w:rsidRPr="0053222F">
          <w:rPr>
            <w:rStyle w:val="Hyperlink"/>
            <w:noProof/>
            <w:lang w:eastAsia="en-GB"/>
          </w:rPr>
          <w:t>4.4</w:t>
        </w:r>
        <w:r>
          <w:rPr>
            <w:rFonts w:asciiTheme="minorHAnsi" w:eastAsiaTheme="minorEastAsia" w:hAnsiTheme="minorHAnsi" w:cstheme="minorBidi"/>
            <w:noProof/>
            <w:sz w:val="22"/>
            <w:szCs w:val="22"/>
            <w:lang w:val="nl-NL" w:eastAsia="nl-NL"/>
          </w:rPr>
          <w:tab/>
        </w:r>
        <w:r w:rsidRPr="0053222F">
          <w:rPr>
            <w:rStyle w:val="Hyperlink"/>
            <w:noProof/>
            <w:lang w:eastAsia="en-GB"/>
          </w:rPr>
          <w:t>Synergies between developments in the different areas</w:t>
        </w:r>
        <w:r>
          <w:rPr>
            <w:noProof/>
            <w:webHidden/>
          </w:rPr>
          <w:tab/>
        </w:r>
        <w:r>
          <w:rPr>
            <w:noProof/>
            <w:webHidden/>
          </w:rPr>
          <w:fldChar w:fldCharType="begin"/>
        </w:r>
        <w:r>
          <w:rPr>
            <w:noProof/>
            <w:webHidden/>
          </w:rPr>
          <w:instrText xml:space="preserve"> PAGEREF _Toc511056649 \h </w:instrText>
        </w:r>
        <w:r>
          <w:rPr>
            <w:noProof/>
            <w:webHidden/>
          </w:rPr>
        </w:r>
        <w:r>
          <w:rPr>
            <w:noProof/>
            <w:webHidden/>
          </w:rPr>
          <w:fldChar w:fldCharType="separate"/>
        </w:r>
        <w:r>
          <w:rPr>
            <w:noProof/>
            <w:webHidden/>
          </w:rPr>
          <w:t>37</w:t>
        </w:r>
        <w:r>
          <w:rPr>
            <w:noProof/>
            <w:webHidden/>
          </w:rPr>
          <w:fldChar w:fldCharType="end"/>
        </w:r>
      </w:hyperlink>
    </w:p>
    <w:p w14:paraId="359FB824" w14:textId="38A4DBD3"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50" w:history="1">
        <w:r w:rsidRPr="0053222F">
          <w:rPr>
            <w:rStyle w:val="Hyperlink"/>
            <w:noProof/>
            <w:lang w:eastAsia="en-GB"/>
          </w:rPr>
          <w:t>5</w:t>
        </w:r>
        <w:r>
          <w:rPr>
            <w:rFonts w:asciiTheme="minorHAnsi" w:eastAsiaTheme="minorEastAsia" w:hAnsiTheme="minorHAnsi" w:cstheme="minorBidi"/>
            <w:noProof/>
            <w:sz w:val="22"/>
            <w:szCs w:val="22"/>
            <w:lang w:val="nl-NL" w:eastAsia="nl-NL"/>
          </w:rPr>
          <w:tab/>
        </w:r>
        <w:r w:rsidRPr="0053222F">
          <w:rPr>
            <w:rStyle w:val="Hyperlink"/>
            <w:noProof/>
            <w:lang w:eastAsia="en-GB"/>
          </w:rPr>
          <w:t>Review of the European Semester from a disability perspective</w:t>
        </w:r>
        <w:r>
          <w:rPr>
            <w:noProof/>
            <w:webHidden/>
          </w:rPr>
          <w:tab/>
        </w:r>
        <w:r>
          <w:rPr>
            <w:noProof/>
            <w:webHidden/>
          </w:rPr>
          <w:fldChar w:fldCharType="begin"/>
        </w:r>
        <w:r>
          <w:rPr>
            <w:noProof/>
            <w:webHidden/>
          </w:rPr>
          <w:instrText xml:space="preserve"> PAGEREF _Toc511056650 \h </w:instrText>
        </w:r>
        <w:r>
          <w:rPr>
            <w:noProof/>
            <w:webHidden/>
          </w:rPr>
        </w:r>
        <w:r>
          <w:rPr>
            <w:noProof/>
            <w:webHidden/>
          </w:rPr>
          <w:fldChar w:fldCharType="separate"/>
        </w:r>
        <w:r>
          <w:rPr>
            <w:noProof/>
            <w:webHidden/>
          </w:rPr>
          <w:t>39</w:t>
        </w:r>
        <w:r>
          <w:rPr>
            <w:noProof/>
            <w:webHidden/>
          </w:rPr>
          <w:fldChar w:fldCharType="end"/>
        </w:r>
      </w:hyperlink>
    </w:p>
    <w:p w14:paraId="4B681D5C" w14:textId="2890DE00"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51" w:history="1">
        <w:r w:rsidRPr="0053222F">
          <w:rPr>
            <w:rStyle w:val="Hyperlink"/>
            <w:noProof/>
          </w:rPr>
          <w:t>5.1</w:t>
        </w:r>
        <w:r>
          <w:rPr>
            <w:rFonts w:asciiTheme="minorHAnsi" w:eastAsiaTheme="minorEastAsia" w:hAnsiTheme="minorHAnsi" w:cstheme="minorBidi"/>
            <w:noProof/>
            <w:sz w:val="22"/>
            <w:szCs w:val="22"/>
            <w:lang w:val="nl-NL" w:eastAsia="nl-NL"/>
          </w:rPr>
          <w:tab/>
        </w:r>
        <w:r w:rsidRPr="0053222F">
          <w:rPr>
            <w:rStyle w:val="Hyperlink"/>
            <w:noProof/>
          </w:rPr>
          <w:t>Progress on disability-specific Country Specific Recommendations (CSRs)</w:t>
        </w:r>
        <w:r>
          <w:rPr>
            <w:noProof/>
            <w:webHidden/>
          </w:rPr>
          <w:tab/>
        </w:r>
        <w:r>
          <w:rPr>
            <w:noProof/>
            <w:webHidden/>
          </w:rPr>
          <w:fldChar w:fldCharType="begin"/>
        </w:r>
        <w:r>
          <w:rPr>
            <w:noProof/>
            <w:webHidden/>
          </w:rPr>
          <w:instrText xml:space="preserve"> PAGEREF _Toc511056651 \h </w:instrText>
        </w:r>
        <w:r>
          <w:rPr>
            <w:noProof/>
            <w:webHidden/>
          </w:rPr>
        </w:r>
        <w:r>
          <w:rPr>
            <w:noProof/>
            <w:webHidden/>
          </w:rPr>
          <w:fldChar w:fldCharType="separate"/>
        </w:r>
        <w:r>
          <w:rPr>
            <w:noProof/>
            <w:webHidden/>
          </w:rPr>
          <w:t>39</w:t>
        </w:r>
        <w:r>
          <w:rPr>
            <w:noProof/>
            <w:webHidden/>
          </w:rPr>
          <w:fldChar w:fldCharType="end"/>
        </w:r>
      </w:hyperlink>
    </w:p>
    <w:p w14:paraId="743B3BEB" w14:textId="4F85A7DF"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52" w:history="1">
        <w:r w:rsidRPr="0053222F">
          <w:rPr>
            <w:rStyle w:val="Hyperlink"/>
            <w:noProof/>
            <w:lang w:eastAsia="en-GB"/>
          </w:rPr>
          <w:t>5.2</w:t>
        </w:r>
        <w:r>
          <w:rPr>
            <w:rFonts w:asciiTheme="minorHAnsi" w:eastAsiaTheme="minorEastAsia" w:hAnsiTheme="minorHAnsi" w:cstheme="minorBidi"/>
            <w:noProof/>
            <w:sz w:val="22"/>
            <w:szCs w:val="22"/>
            <w:lang w:val="nl-NL" w:eastAsia="nl-NL"/>
          </w:rPr>
          <w:tab/>
        </w:r>
        <w:r w:rsidRPr="0053222F">
          <w:rPr>
            <w:rStyle w:val="Hyperlink"/>
            <w:noProof/>
            <w:lang w:eastAsia="en-GB"/>
          </w:rPr>
          <w:t>Progress on other CSRs from a disability perspective</w:t>
        </w:r>
        <w:r>
          <w:rPr>
            <w:noProof/>
            <w:webHidden/>
          </w:rPr>
          <w:tab/>
        </w:r>
        <w:r>
          <w:rPr>
            <w:noProof/>
            <w:webHidden/>
          </w:rPr>
          <w:fldChar w:fldCharType="begin"/>
        </w:r>
        <w:r>
          <w:rPr>
            <w:noProof/>
            <w:webHidden/>
          </w:rPr>
          <w:instrText xml:space="preserve"> PAGEREF _Toc511056652 \h </w:instrText>
        </w:r>
        <w:r>
          <w:rPr>
            <w:noProof/>
            <w:webHidden/>
          </w:rPr>
        </w:r>
        <w:r>
          <w:rPr>
            <w:noProof/>
            <w:webHidden/>
          </w:rPr>
          <w:fldChar w:fldCharType="separate"/>
        </w:r>
        <w:r>
          <w:rPr>
            <w:noProof/>
            <w:webHidden/>
          </w:rPr>
          <w:t>39</w:t>
        </w:r>
        <w:r>
          <w:rPr>
            <w:noProof/>
            <w:webHidden/>
          </w:rPr>
          <w:fldChar w:fldCharType="end"/>
        </w:r>
      </w:hyperlink>
    </w:p>
    <w:p w14:paraId="1F769CFC" w14:textId="58B3B15A" w:rsidR="0016304F" w:rsidRDefault="0016304F">
      <w:pPr>
        <w:pStyle w:val="TOC2"/>
        <w:tabs>
          <w:tab w:val="left" w:pos="1134"/>
          <w:tab w:val="right" w:leader="dot" w:pos="9016"/>
        </w:tabs>
        <w:rPr>
          <w:rFonts w:asciiTheme="minorHAnsi" w:eastAsiaTheme="minorEastAsia" w:hAnsiTheme="minorHAnsi" w:cstheme="minorBidi"/>
          <w:noProof/>
          <w:sz w:val="22"/>
          <w:szCs w:val="22"/>
          <w:lang w:val="nl-NL" w:eastAsia="nl-NL"/>
        </w:rPr>
      </w:pPr>
      <w:hyperlink w:anchor="_Toc511056653" w:history="1">
        <w:r w:rsidRPr="0053222F">
          <w:rPr>
            <w:rStyle w:val="Hyperlink"/>
            <w:noProof/>
            <w:lang w:eastAsia="en-GB"/>
          </w:rPr>
          <w:t>5.3</w:t>
        </w:r>
        <w:r>
          <w:rPr>
            <w:rFonts w:asciiTheme="minorHAnsi" w:eastAsiaTheme="minorEastAsia" w:hAnsiTheme="minorHAnsi" w:cstheme="minorBidi"/>
            <w:noProof/>
            <w:sz w:val="22"/>
            <w:szCs w:val="22"/>
            <w:lang w:val="nl-NL" w:eastAsia="nl-NL"/>
          </w:rPr>
          <w:tab/>
        </w:r>
        <w:r w:rsidRPr="0053222F">
          <w:rPr>
            <w:rStyle w:val="Hyperlink"/>
            <w:noProof/>
            <w:lang w:eastAsia="en-GB"/>
          </w:rPr>
          <w:t>Assessment of disability issues in the Country Report (CR)</w:t>
        </w:r>
        <w:r>
          <w:rPr>
            <w:noProof/>
            <w:webHidden/>
          </w:rPr>
          <w:tab/>
        </w:r>
        <w:r>
          <w:rPr>
            <w:noProof/>
            <w:webHidden/>
          </w:rPr>
          <w:fldChar w:fldCharType="begin"/>
        </w:r>
        <w:r>
          <w:rPr>
            <w:noProof/>
            <w:webHidden/>
          </w:rPr>
          <w:instrText xml:space="preserve"> PAGEREF _Toc511056653 \h </w:instrText>
        </w:r>
        <w:r>
          <w:rPr>
            <w:noProof/>
            <w:webHidden/>
          </w:rPr>
        </w:r>
        <w:r>
          <w:rPr>
            <w:noProof/>
            <w:webHidden/>
          </w:rPr>
          <w:fldChar w:fldCharType="separate"/>
        </w:r>
        <w:r>
          <w:rPr>
            <w:noProof/>
            <w:webHidden/>
          </w:rPr>
          <w:t>41</w:t>
        </w:r>
        <w:r>
          <w:rPr>
            <w:noProof/>
            <w:webHidden/>
          </w:rPr>
          <w:fldChar w:fldCharType="end"/>
        </w:r>
      </w:hyperlink>
    </w:p>
    <w:p w14:paraId="247137B4" w14:textId="4A8CE2A2"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54" w:history="1">
        <w:r w:rsidRPr="0053222F">
          <w:rPr>
            <w:rStyle w:val="Hyperlink"/>
            <w:noProof/>
            <w:lang w:eastAsia="en-GB"/>
          </w:rPr>
          <w:t>6</w:t>
        </w:r>
        <w:r>
          <w:rPr>
            <w:rFonts w:asciiTheme="minorHAnsi" w:eastAsiaTheme="minorEastAsia" w:hAnsiTheme="minorHAnsi" w:cstheme="minorBidi"/>
            <w:noProof/>
            <w:sz w:val="22"/>
            <w:szCs w:val="22"/>
            <w:lang w:val="nl-NL" w:eastAsia="nl-NL"/>
          </w:rPr>
          <w:tab/>
        </w:r>
        <w:r w:rsidRPr="0053222F">
          <w:rPr>
            <w:rStyle w:val="Hyperlink"/>
            <w:noProof/>
            <w:lang w:eastAsia="en-GB"/>
          </w:rPr>
          <w:t>Assessment of the structural funds ESIF 2014-2020 or other relevant funds</w:t>
        </w:r>
        <w:r w:rsidRPr="0053222F">
          <w:rPr>
            <w:rStyle w:val="Hyperlink"/>
            <w:noProof/>
          </w:rPr>
          <w:t xml:space="preserve"> </w:t>
        </w:r>
        <w:r w:rsidRPr="0053222F">
          <w:rPr>
            <w:rStyle w:val="Hyperlink"/>
            <w:noProof/>
            <w:lang w:eastAsia="en-GB"/>
          </w:rPr>
          <w:t>in relation to disability challenges</w:t>
        </w:r>
        <w:r>
          <w:rPr>
            <w:noProof/>
            <w:webHidden/>
          </w:rPr>
          <w:tab/>
        </w:r>
        <w:r>
          <w:rPr>
            <w:noProof/>
            <w:webHidden/>
          </w:rPr>
          <w:fldChar w:fldCharType="begin"/>
        </w:r>
        <w:r>
          <w:rPr>
            <w:noProof/>
            <w:webHidden/>
          </w:rPr>
          <w:instrText xml:space="preserve"> PAGEREF _Toc511056654 \h </w:instrText>
        </w:r>
        <w:r>
          <w:rPr>
            <w:noProof/>
            <w:webHidden/>
          </w:rPr>
        </w:r>
        <w:r>
          <w:rPr>
            <w:noProof/>
            <w:webHidden/>
          </w:rPr>
          <w:fldChar w:fldCharType="separate"/>
        </w:r>
        <w:r>
          <w:rPr>
            <w:noProof/>
            <w:webHidden/>
          </w:rPr>
          <w:t>43</w:t>
        </w:r>
        <w:r>
          <w:rPr>
            <w:noProof/>
            <w:webHidden/>
          </w:rPr>
          <w:fldChar w:fldCharType="end"/>
        </w:r>
      </w:hyperlink>
    </w:p>
    <w:p w14:paraId="2672CB29" w14:textId="6C055896" w:rsidR="0016304F" w:rsidRDefault="0016304F">
      <w:pPr>
        <w:pStyle w:val="TOC1"/>
        <w:tabs>
          <w:tab w:val="right" w:leader="dot" w:pos="9016"/>
        </w:tabs>
        <w:rPr>
          <w:rFonts w:asciiTheme="minorHAnsi" w:eastAsiaTheme="minorEastAsia" w:hAnsiTheme="minorHAnsi" w:cstheme="minorBidi"/>
          <w:noProof/>
          <w:sz w:val="22"/>
          <w:szCs w:val="22"/>
          <w:lang w:val="nl-NL" w:eastAsia="nl-NL"/>
        </w:rPr>
      </w:pPr>
      <w:hyperlink w:anchor="_Toc511056655" w:history="1">
        <w:r w:rsidRPr="0053222F">
          <w:rPr>
            <w:rStyle w:val="Hyperlink"/>
            <w:noProof/>
            <w:lang w:eastAsia="en-GB"/>
          </w:rPr>
          <w:t>7</w:t>
        </w:r>
        <w:r>
          <w:rPr>
            <w:rFonts w:asciiTheme="minorHAnsi" w:eastAsiaTheme="minorEastAsia" w:hAnsiTheme="minorHAnsi" w:cstheme="minorBidi"/>
            <w:noProof/>
            <w:sz w:val="22"/>
            <w:szCs w:val="22"/>
            <w:lang w:val="nl-NL" w:eastAsia="nl-NL"/>
          </w:rPr>
          <w:tab/>
        </w:r>
        <w:r w:rsidRPr="0053222F">
          <w:rPr>
            <w:rStyle w:val="Hyperlink"/>
            <w:noProof/>
            <w:lang w:eastAsia="en-GB"/>
          </w:rPr>
          <w:t>Recommendations</w:t>
        </w:r>
        <w:r>
          <w:rPr>
            <w:noProof/>
            <w:webHidden/>
          </w:rPr>
          <w:tab/>
        </w:r>
        <w:r>
          <w:rPr>
            <w:noProof/>
            <w:webHidden/>
          </w:rPr>
          <w:fldChar w:fldCharType="begin"/>
        </w:r>
        <w:r>
          <w:rPr>
            <w:noProof/>
            <w:webHidden/>
          </w:rPr>
          <w:instrText xml:space="preserve"> PAGEREF _Toc511056655 \h </w:instrText>
        </w:r>
        <w:r>
          <w:rPr>
            <w:noProof/>
            <w:webHidden/>
          </w:rPr>
        </w:r>
        <w:r>
          <w:rPr>
            <w:noProof/>
            <w:webHidden/>
          </w:rPr>
          <w:fldChar w:fldCharType="separate"/>
        </w:r>
        <w:r>
          <w:rPr>
            <w:noProof/>
            <w:webHidden/>
          </w:rPr>
          <w:t>45</w:t>
        </w:r>
        <w:r>
          <w:rPr>
            <w:noProof/>
            <w:webHidden/>
          </w:rPr>
          <w:fldChar w:fldCharType="end"/>
        </w:r>
      </w:hyperlink>
    </w:p>
    <w:p w14:paraId="44EEF9D0" w14:textId="454210A1" w:rsidR="00A14F67" w:rsidRPr="0077606A" w:rsidRDefault="00523FF1" w:rsidP="0016304F">
      <w:pPr>
        <w:spacing w:after="0"/>
      </w:pPr>
      <w:r>
        <w:fldChar w:fldCharType="end"/>
      </w:r>
    </w:p>
    <w:p w14:paraId="1EF274C9" w14:textId="77777777" w:rsidR="004D01C6" w:rsidRPr="0077606A" w:rsidRDefault="004D01C6" w:rsidP="0016304F">
      <w:pPr>
        <w:spacing w:after="0"/>
      </w:pPr>
    </w:p>
    <w:p w14:paraId="5676FCCA" w14:textId="77777777" w:rsidR="004D01C6" w:rsidRDefault="004D01C6" w:rsidP="0016304F">
      <w:pPr>
        <w:pStyle w:val="Heading1"/>
      </w:pPr>
      <w:bookmarkStart w:id="1" w:name="_Toc511056630"/>
      <w:r w:rsidRPr="0077606A">
        <w:lastRenderedPageBreak/>
        <w:t>Summary of the overall situation and challenges</w:t>
      </w:r>
      <w:bookmarkEnd w:id="1"/>
    </w:p>
    <w:p w14:paraId="2DCCACF2" w14:textId="77777777" w:rsidR="0077606A" w:rsidRPr="0077606A" w:rsidRDefault="0077606A" w:rsidP="0016304F">
      <w:pPr>
        <w:spacing w:after="0"/>
      </w:pPr>
    </w:p>
    <w:p w14:paraId="20139868" w14:textId="022EF000" w:rsidR="00BA26A1" w:rsidRDefault="002C2233" w:rsidP="0016304F">
      <w:pPr>
        <w:spacing w:after="0"/>
      </w:pPr>
      <w:r>
        <w:t xml:space="preserve">The far-reaching policy challenges and questions raised by the </w:t>
      </w:r>
      <w:r w:rsidR="002D2609">
        <w:t xml:space="preserve">2016 </w:t>
      </w:r>
      <w:r w:rsidR="00BA26A1">
        <w:t xml:space="preserve">‘Brexit’ referendum </w:t>
      </w:r>
      <w:r w:rsidR="002D2609">
        <w:t xml:space="preserve">are only beginning to be addressed and, in the case of disability policies, hardly discussed. There remains </w:t>
      </w:r>
      <w:r w:rsidR="00BA26A1">
        <w:t>grave political uncertainty</w:t>
      </w:r>
      <w:r w:rsidR="002D2609">
        <w:t xml:space="preserve"> </w:t>
      </w:r>
      <w:r w:rsidR="00BA26A1">
        <w:t xml:space="preserve">about future policy direction and harmonisation of national policies </w:t>
      </w:r>
      <w:r w:rsidR="002D2609">
        <w:t xml:space="preserve">in relation to </w:t>
      </w:r>
      <w:r w:rsidR="00BA26A1">
        <w:t xml:space="preserve">EU strategies or </w:t>
      </w:r>
      <w:r w:rsidR="002D2609">
        <w:t xml:space="preserve">the single </w:t>
      </w:r>
      <w:r w:rsidR="00BA26A1">
        <w:t xml:space="preserve">market. Article 50 TFEU </w:t>
      </w:r>
      <w:r w:rsidR="002D2609">
        <w:t>was triggered in March</w:t>
      </w:r>
      <w:r w:rsidR="00BA26A1">
        <w:t xml:space="preserve"> 2017 with the intention to leave the Union towards the end of the current budget period </w:t>
      </w:r>
      <w:r w:rsidR="002D2609">
        <w:t xml:space="preserve">in </w:t>
      </w:r>
      <w:r w:rsidR="00BA26A1">
        <w:t>2019</w:t>
      </w:r>
      <w:r w:rsidR="002D2609">
        <w:t xml:space="preserve"> (possibly with a transitional period thereafter</w:t>
      </w:r>
      <w:r w:rsidR="00BA26A1">
        <w:t xml:space="preserve">). </w:t>
      </w:r>
      <w:r w:rsidR="002D2609">
        <w:t>W</w:t>
      </w:r>
      <w:r w:rsidR="00BA26A1">
        <w:t xml:space="preserve">e assume continued </w:t>
      </w:r>
      <w:r w:rsidR="00E96E3C">
        <w:t xml:space="preserve">UK </w:t>
      </w:r>
      <w:r w:rsidR="00BA26A1">
        <w:t>participation in the European Semester cycle</w:t>
      </w:r>
      <w:r w:rsidR="00BD0DBE">
        <w:t xml:space="preserve"> </w:t>
      </w:r>
      <w:r w:rsidR="002D2609">
        <w:t xml:space="preserve">until </w:t>
      </w:r>
      <w:r w:rsidR="00361BC9">
        <w:t xml:space="preserve">at least </w:t>
      </w:r>
      <w:r w:rsidR="002D2609">
        <w:t xml:space="preserve">that point. </w:t>
      </w:r>
      <w:r w:rsidR="00140B43">
        <w:t>In 2017, the</w:t>
      </w:r>
      <w:r w:rsidR="00BD0DBE">
        <w:t xml:space="preserve"> </w:t>
      </w:r>
      <w:r w:rsidR="00140B43">
        <w:t xml:space="preserve">main </w:t>
      </w:r>
      <w:r w:rsidR="00BD0DBE">
        <w:t xml:space="preserve">focus </w:t>
      </w:r>
      <w:r w:rsidR="00140B43">
        <w:t xml:space="preserve">for </w:t>
      </w:r>
      <w:r w:rsidR="00BD0DBE">
        <w:t xml:space="preserve">the Country Specific Recommendations </w:t>
      </w:r>
      <w:r w:rsidR="00140B43">
        <w:t>has remained unchanged for the past two years</w:t>
      </w:r>
      <w:r w:rsidR="00BD0DBE">
        <w:t>.</w:t>
      </w:r>
    </w:p>
    <w:p w14:paraId="2ACA951D" w14:textId="77777777" w:rsidR="00BA26A1" w:rsidRDefault="00BA26A1" w:rsidP="0016304F">
      <w:pPr>
        <w:spacing w:after="0"/>
      </w:pPr>
    </w:p>
    <w:p w14:paraId="38C75061" w14:textId="429C2F76" w:rsidR="00BA26A1" w:rsidRDefault="00361BC9" w:rsidP="0016304F">
      <w:pPr>
        <w:spacing w:after="0"/>
      </w:pPr>
      <w:r>
        <w:t xml:space="preserve">Following a long </w:t>
      </w:r>
      <w:r w:rsidR="00883A5D">
        <w:t>p</w:t>
      </w:r>
      <w:r>
        <w:t xml:space="preserve">eriod of deferment, the UK </w:t>
      </w:r>
      <w:r w:rsidR="00883A5D">
        <w:t xml:space="preserve">has now </w:t>
      </w:r>
      <w:r>
        <w:t xml:space="preserve">completed its first </w:t>
      </w:r>
      <w:r w:rsidR="00883A5D">
        <w:t xml:space="preserve">cycle of </w:t>
      </w:r>
      <w:r>
        <w:t>dialogue with the UN Committee on the Rights of Persons with Disabilities. This has raised a number of recommendations relevant to achieving the EU2020 goals, and reinforcing the findings of the UN Committee’s investigation into claims of systematic rights violation arising from national welfare reforms. D</w:t>
      </w:r>
      <w:r w:rsidR="00D82CFA">
        <w:t xml:space="preserve">evolved </w:t>
      </w:r>
      <w:r>
        <w:t xml:space="preserve">regional </w:t>
      </w:r>
      <w:r w:rsidR="00D82CFA">
        <w:t xml:space="preserve">government </w:t>
      </w:r>
      <w:r>
        <w:t>is likely to</w:t>
      </w:r>
      <w:r w:rsidR="00D82CFA">
        <w:t xml:space="preserve"> become more significant in some areas of disability policy making</w:t>
      </w:r>
      <w:r>
        <w:t xml:space="preserve">, notably </w:t>
      </w:r>
      <w:r w:rsidR="00D82CFA">
        <w:t>in Scotland.</w:t>
      </w:r>
      <w:r w:rsidR="00523FF1">
        <w:t xml:space="preserve"> </w:t>
      </w:r>
    </w:p>
    <w:p w14:paraId="6C82579F" w14:textId="77777777" w:rsidR="00BA26A1" w:rsidRDefault="00BA26A1" w:rsidP="0016304F">
      <w:pPr>
        <w:spacing w:after="0"/>
      </w:pPr>
    </w:p>
    <w:p w14:paraId="05E908F7" w14:textId="77777777" w:rsidR="0092436E" w:rsidRPr="00DF1931" w:rsidRDefault="0092436E" w:rsidP="0016304F">
      <w:pPr>
        <w:spacing w:after="0"/>
      </w:pPr>
      <w:r w:rsidRPr="00DF1931">
        <w:t xml:space="preserve">The employment situation remains </w:t>
      </w:r>
      <w:r w:rsidRPr="00EA2B9A">
        <w:t xml:space="preserve">paradoxical. The </w:t>
      </w:r>
      <w:r w:rsidRPr="00D60B2F">
        <w:t xml:space="preserve">general employment rate </w:t>
      </w:r>
      <w:r>
        <w:t xml:space="preserve">is well above the EU average but the </w:t>
      </w:r>
      <w:r w:rsidRPr="00EA2B9A">
        <w:t xml:space="preserve">disability employment rate </w:t>
      </w:r>
      <w:r>
        <w:t xml:space="preserve">is </w:t>
      </w:r>
      <w:r w:rsidRPr="00EA2B9A">
        <w:t>below the EU average</w:t>
      </w:r>
      <w:r w:rsidRPr="00D60B2F">
        <w:t>.</w:t>
      </w:r>
      <w:r>
        <w:t xml:space="preserve"> </w:t>
      </w:r>
    </w:p>
    <w:p w14:paraId="40795950" w14:textId="76E25384" w:rsidR="00FC47F2" w:rsidRDefault="0056154D" w:rsidP="0016304F">
      <w:pPr>
        <w:spacing w:after="0"/>
      </w:pPr>
      <w:r>
        <w:t>As noted in previous reports</w:t>
      </w:r>
      <w:r w:rsidR="00D82CFA">
        <w:t xml:space="preserve">, the </w:t>
      </w:r>
      <w:r w:rsidR="00FC47F2" w:rsidRPr="0077606A">
        <w:t xml:space="preserve">UK Government publishes excellent </w:t>
      </w:r>
      <w:r w:rsidR="0092436E">
        <w:t xml:space="preserve">and reliable </w:t>
      </w:r>
      <w:r w:rsidR="00FC47F2" w:rsidRPr="0077606A">
        <w:t xml:space="preserve">official statistics on disability and employment, and </w:t>
      </w:r>
      <w:r>
        <w:t xml:space="preserve">sets </w:t>
      </w:r>
      <w:r w:rsidR="00FC47F2" w:rsidRPr="0077606A">
        <w:t xml:space="preserve">a target to halve the disability employment gap. </w:t>
      </w:r>
      <w:r>
        <w:t xml:space="preserve">The measures to address this are outlined in the 2017 NRP but </w:t>
      </w:r>
      <w:r w:rsidR="00D82CFA">
        <w:t>present significant policy</w:t>
      </w:r>
      <w:r w:rsidR="00FC47F2" w:rsidRPr="0077606A">
        <w:t xml:space="preserve"> challeng</w:t>
      </w:r>
      <w:r w:rsidR="00D82CFA">
        <w:t>e</w:t>
      </w:r>
      <w:r w:rsidR="0092436E">
        <w:t>s. Supply side policies are not sufficiently matched by demand side policies.</w:t>
      </w:r>
    </w:p>
    <w:p w14:paraId="5A919F5B" w14:textId="77777777" w:rsidR="0077606A" w:rsidRPr="00EA2B9A" w:rsidRDefault="0077606A" w:rsidP="0016304F">
      <w:pPr>
        <w:spacing w:after="0"/>
      </w:pPr>
    </w:p>
    <w:p w14:paraId="1F9B4BE3" w14:textId="5A9D8038" w:rsidR="00E948A2" w:rsidRPr="006B0C5F" w:rsidRDefault="004276E2" w:rsidP="0016304F">
      <w:pPr>
        <w:spacing w:after="0"/>
      </w:pPr>
      <w:r w:rsidRPr="00286B5C">
        <w:t>Young disabled</w:t>
      </w:r>
      <w:r w:rsidR="00E948A2" w:rsidRPr="00DF1931">
        <w:t xml:space="preserve"> people are over-represented among early school </w:t>
      </w:r>
      <w:r w:rsidR="00E948A2" w:rsidRPr="00EA2B9A">
        <w:t>leavers and those who are NEET or without tertiary educational qualifications in adulthood. There is a need to ensure that they benefit fully from investments in basic skills, apprenticeships and the widening of par</w:t>
      </w:r>
      <w:r w:rsidR="0077606A" w:rsidRPr="00EA2B9A">
        <w:t>ticipation in higher education.</w:t>
      </w:r>
    </w:p>
    <w:p w14:paraId="23BB1789" w14:textId="77777777" w:rsidR="0077606A" w:rsidRPr="00D60B2F" w:rsidRDefault="0077606A" w:rsidP="0016304F">
      <w:pPr>
        <w:spacing w:after="0"/>
      </w:pPr>
    </w:p>
    <w:p w14:paraId="5B82B4F7" w14:textId="405333AB" w:rsidR="00FC47F2" w:rsidRPr="00D60B2F" w:rsidRDefault="00084B69" w:rsidP="0016304F">
      <w:pPr>
        <w:spacing w:after="0"/>
      </w:pPr>
      <w:r w:rsidRPr="00D60B2F">
        <w:t xml:space="preserve">There are wide equality gaps for disabled people </w:t>
      </w:r>
      <w:r w:rsidR="0092436E">
        <w:t>at risk of</w:t>
      </w:r>
      <w:r w:rsidR="0092436E" w:rsidRPr="00D60B2F">
        <w:t xml:space="preserve"> </w:t>
      </w:r>
      <w:r w:rsidRPr="00D60B2F">
        <w:t xml:space="preserve">household poverty, particularly for people of working age, </w:t>
      </w:r>
      <w:r w:rsidR="0092436E">
        <w:t xml:space="preserve">and </w:t>
      </w:r>
      <w:r w:rsidRPr="00D60B2F">
        <w:t xml:space="preserve">including those in work. This risk is underlined by </w:t>
      </w:r>
      <w:r w:rsidR="00D60B2F" w:rsidRPr="00286B5C">
        <w:t>major</w:t>
      </w:r>
      <w:r w:rsidRPr="00DF1931">
        <w:t xml:space="preserve"> reforms of the disability benefit system and employment activation policies.</w:t>
      </w:r>
      <w:r w:rsidR="00E948A2" w:rsidRPr="00DF1931">
        <w:t xml:space="preserve"> </w:t>
      </w:r>
      <w:r w:rsidR="00D60B2F">
        <w:t>N</w:t>
      </w:r>
      <w:r w:rsidR="00FC47F2" w:rsidRPr="00DF1931">
        <w:t xml:space="preserve">ational and international concern about the </w:t>
      </w:r>
      <w:r w:rsidR="00FC47F2" w:rsidRPr="00EA2B9A">
        <w:t xml:space="preserve">consequences of austerity policies for disabled people </w:t>
      </w:r>
      <w:r w:rsidR="00D60B2F">
        <w:t xml:space="preserve">has been heightened by the uncertainties and economic consequences of </w:t>
      </w:r>
      <w:r w:rsidR="002C19AD">
        <w:t>Brexit</w:t>
      </w:r>
      <w:r w:rsidR="0077606A" w:rsidRPr="00D60B2F">
        <w:t>.</w:t>
      </w:r>
      <w:r w:rsidR="00DA1606">
        <w:t xml:space="preserve"> Strong and supportive social </w:t>
      </w:r>
      <w:r w:rsidR="005A10B4">
        <w:t>policies</w:t>
      </w:r>
      <w:r w:rsidR="00DA1606">
        <w:t xml:space="preserve"> are needed to </w:t>
      </w:r>
      <w:r w:rsidR="00A84B48">
        <w:t>reinforce the position of</w:t>
      </w:r>
      <w:r w:rsidR="00DA1606">
        <w:t xml:space="preserve"> </w:t>
      </w:r>
      <w:r w:rsidR="00A84B48">
        <w:t xml:space="preserve">disabled people and other </w:t>
      </w:r>
      <w:r w:rsidR="00DA1606">
        <w:t>marginalised groups during this transition.</w:t>
      </w:r>
    </w:p>
    <w:p w14:paraId="40654B89" w14:textId="77777777" w:rsidR="0077606A" w:rsidRDefault="0077606A" w:rsidP="0016304F">
      <w:pPr>
        <w:spacing w:after="0"/>
        <w:rPr>
          <w:highlight w:val="yellow"/>
        </w:rPr>
      </w:pPr>
    </w:p>
    <w:p w14:paraId="0F946589" w14:textId="77777777" w:rsidR="005A10B4" w:rsidRPr="00286B5C" w:rsidRDefault="005A10B4" w:rsidP="0016304F">
      <w:pPr>
        <w:spacing w:after="0"/>
        <w:rPr>
          <w:highlight w:val="yellow"/>
        </w:rPr>
      </w:pPr>
    </w:p>
    <w:p w14:paraId="7F11945A" w14:textId="77777777" w:rsidR="001341CA" w:rsidRPr="00523FF1" w:rsidRDefault="001341CA" w:rsidP="0016304F">
      <w:pPr>
        <w:pStyle w:val="Heading1"/>
      </w:pPr>
      <w:bookmarkStart w:id="2" w:name="_Toc511056631"/>
      <w:r w:rsidRPr="00523FF1">
        <w:lastRenderedPageBreak/>
        <w:t xml:space="preserve">Assessment of the situation </w:t>
      </w:r>
      <w:r w:rsidR="000D320A" w:rsidRPr="00523FF1">
        <w:t xml:space="preserve">of disabled people </w:t>
      </w:r>
      <w:r w:rsidRPr="00523FF1">
        <w:t>with respect to the Europe 2020 headline targets</w:t>
      </w:r>
      <w:bookmarkEnd w:id="2"/>
    </w:p>
    <w:p w14:paraId="60754431" w14:textId="77777777" w:rsidR="0077606A" w:rsidRPr="0077606A" w:rsidRDefault="0077606A" w:rsidP="0016304F">
      <w:pPr>
        <w:spacing w:after="0"/>
      </w:pPr>
    </w:p>
    <w:p w14:paraId="0DC6039D" w14:textId="77777777" w:rsidR="001341CA" w:rsidRDefault="00EA2651" w:rsidP="0016304F">
      <w:pPr>
        <w:pStyle w:val="Heading2"/>
        <w:spacing w:after="0"/>
        <w:rPr>
          <w:szCs w:val="24"/>
        </w:rPr>
      </w:pPr>
      <w:bookmarkStart w:id="3" w:name="_Toc511056632"/>
      <w:r w:rsidRPr="0077606A">
        <w:rPr>
          <w:szCs w:val="24"/>
        </w:rPr>
        <w:t>Strategic</w:t>
      </w:r>
      <w:r w:rsidR="000D320A" w:rsidRPr="0077606A">
        <w:rPr>
          <w:szCs w:val="24"/>
        </w:rPr>
        <w:t xml:space="preserve"> targets</w:t>
      </w:r>
      <w:bookmarkEnd w:id="3"/>
    </w:p>
    <w:p w14:paraId="00856286" w14:textId="77777777" w:rsidR="0077606A" w:rsidRPr="0077606A" w:rsidRDefault="0077606A" w:rsidP="0016304F">
      <w:pPr>
        <w:spacing w:after="0"/>
      </w:pPr>
    </w:p>
    <w:p w14:paraId="05C11B67" w14:textId="3171CBE7" w:rsidR="00286B5C" w:rsidRPr="00523FF1" w:rsidRDefault="00B12ADE" w:rsidP="0016304F">
      <w:pPr>
        <w:pStyle w:val="Caption"/>
        <w:rPr>
          <w:szCs w:val="20"/>
        </w:rPr>
      </w:pPr>
      <w:r w:rsidRPr="00523FF1">
        <w:rPr>
          <w:szCs w:val="20"/>
        </w:rPr>
        <w:t xml:space="preserve">Table </w:t>
      </w:r>
      <w:r w:rsidR="0077606A" w:rsidRPr="00523FF1">
        <w:rPr>
          <w:szCs w:val="20"/>
        </w:rPr>
        <w:fldChar w:fldCharType="begin"/>
      </w:r>
      <w:r w:rsidR="0077606A" w:rsidRPr="00523FF1">
        <w:rPr>
          <w:szCs w:val="20"/>
        </w:rPr>
        <w:instrText xml:space="preserve"> SEQ Table \* ARABIC </w:instrText>
      </w:r>
      <w:r w:rsidR="0077606A" w:rsidRPr="00523FF1">
        <w:rPr>
          <w:szCs w:val="20"/>
        </w:rPr>
        <w:fldChar w:fldCharType="separate"/>
      </w:r>
      <w:r w:rsidR="00E51EC7" w:rsidRPr="00523FF1">
        <w:rPr>
          <w:noProof/>
          <w:szCs w:val="20"/>
        </w:rPr>
        <w:t>1</w:t>
      </w:r>
      <w:r w:rsidR="0077606A" w:rsidRPr="00523FF1">
        <w:rPr>
          <w:noProof/>
          <w:szCs w:val="20"/>
        </w:rPr>
        <w:fldChar w:fldCharType="end"/>
      </w:r>
      <w:r w:rsidRPr="00523FF1">
        <w:rPr>
          <w:szCs w:val="20"/>
        </w:rPr>
        <w:t xml:space="preserve">: Europe 2020 and </w:t>
      </w:r>
      <w:r w:rsidR="00EA2651" w:rsidRPr="00523FF1">
        <w:rPr>
          <w:szCs w:val="20"/>
        </w:rPr>
        <w:t xml:space="preserve">agreed </w:t>
      </w:r>
      <w:r w:rsidRPr="00523FF1">
        <w:rPr>
          <w:szCs w:val="20"/>
        </w:rPr>
        <w:t>national targets</w:t>
      </w:r>
      <w:r w:rsidR="00DC521C" w:rsidRPr="00523FF1">
        <w:rPr>
          <w:szCs w:val="20"/>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1"/>
        <w:gridCol w:w="3079"/>
      </w:tblGrid>
      <w:tr w:rsidR="00B12ADE" w:rsidRPr="0016304F" w14:paraId="3C95E132" w14:textId="77777777" w:rsidTr="00B12ADE">
        <w:tc>
          <w:tcPr>
            <w:tcW w:w="1667" w:type="pct"/>
            <w:shd w:val="clear" w:color="auto" w:fill="auto"/>
          </w:tcPr>
          <w:p w14:paraId="53DC28E9" w14:textId="77777777" w:rsidR="00B12ADE" w:rsidRPr="0016304F" w:rsidRDefault="00B12ADE" w:rsidP="0016304F">
            <w:pPr>
              <w:spacing w:after="0"/>
            </w:pPr>
          </w:p>
        </w:tc>
        <w:tc>
          <w:tcPr>
            <w:tcW w:w="1667" w:type="pct"/>
            <w:shd w:val="clear" w:color="auto" w:fill="auto"/>
          </w:tcPr>
          <w:p w14:paraId="401A54B0" w14:textId="77777777" w:rsidR="00B12ADE" w:rsidRPr="0016304F" w:rsidRDefault="00B12ADE" w:rsidP="0016304F">
            <w:pPr>
              <w:spacing w:after="0"/>
            </w:pPr>
            <w:r w:rsidRPr="0016304F">
              <w:t>Europe 2020 targets</w:t>
            </w:r>
          </w:p>
        </w:tc>
        <w:tc>
          <w:tcPr>
            <w:tcW w:w="1666" w:type="pct"/>
            <w:shd w:val="clear" w:color="auto" w:fill="auto"/>
          </w:tcPr>
          <w:p w14:paraId="4D2FC498" w14:textId="77777777" w:rsidR="00B12ADE" w:rsidRPr="0016304F" w:rsidRDefault="00B12ADE" w:rsidP="0016304F">
            <w:pPr>
              <w:spacing w:after="0"/>
            </w:pPr>
            <w:r w:rsidRPr="0016304F">
              <w:t>National targets</w:t>
            </w:r>
            <w:r w:rsidR="00DC521C" w:rsidRPr="0016304F">
              <w:rPr>
                <w:rStyle w:val="FootnoteReference"/>
                <w:b/>
                <w:bCs/>
              </w:rPr>
              <w:footnoteReference w:id="1"/>
            </w:r>
          </w:p>
        </w:tc>
      </w:tr>
      <w:tr w:rsidR="0069790A" w:rsidRPr="0016304F" w14:paraId="228892B9" w14:textId="77777777" w:rsidTr="00B12ADE">
        <w:tc>
          <w:tcPr>
            <w:tcW w:w="1667" w:type="pct"/>
            <w:shd w:val="clear" w:color="auto" w:fill="auto"/>
          </w:tcPr>
          <w:p w14:paraId="5CED1D2B" w14:textId="77777777" w:rsidR="0069790A" w:rsidRPr="0016304F" w:rsidRDefault="0069790A" w:rsidP="0016304F">
            <w:pPr>
              <w:spacing w:after="0"/>
            </w:pPr>
            <w:r w:rsidRPr="0016304F">
              <w:t>Employment</w:t>
            </w:r>
          </w:p>
        </w:tc>
        <w:tc>
          <w:tcPr>
            <w:tcW w:w="1667" w:type="pct"/>
            <w:shd w:val="clear" w:color="auto" w:fill="auto"/>
          </w:tcPr>
          <w:p w14:paraId="0F84EAF1" w14:textId="77777777" w:rsidR="0069790A" w:rsidRPr="0016304F" w:rsidRDefault="0069790A" w:rsidP="0016304F">
            <w:pPr>
              <w:spacing w:after="0"/>
            </w:pPr>
            <w:r w:rsidRPr="0016304F">
              <w:t>75% of the 20-64 year-olds to be employed</w:t>
            </w:r>
          </w:p>
        </w:tc>
        <w:tc>
          <w:tcPr>
            <w:tcW w:w="1666" w:type="pct"/>
            <w:shd w:val="clear" w:color="auto" w:fill="auto"/>
          </w:tcPr>
          <w:p w14:paraId="7935DDBD" w14:textId="2EFE5478" w:rsidR="0069790A" w:rsidRPr="0016304F" w:rsidRDefault="009468D8" w:rsidP="0016304F">
            <w:pPr>
              <w:spacing w:after="0"/>
            </w:pPr>
            <w:r w:rsidRPr="0016304F">
              <w:t>To halve the disability employment gap</w:t>
            </w:r>
          </w:p>
        </w:tc>
      </w:tr>
      <w:tr w:rsidR="0069790A" w:rsidRPr="0016304F" w14:paraId="4557264F" w14:textId="77777777" w:rsidTr="00B12ADE">
        <w:tc>
          <w:tcPr>
            <w:tcW w:w="1667" w:type="pct"/>
            <w:vMerge w:val="restart"/>
            <w:shd w:val="clear" w:color="auto" w:fill="auto"/>
          </w:tcPr>
          <w:p w14:paraId="6C718ECF" w14:textId="77777777" w:rsidR="0069790A" w:rsidRPr="0016304F" w:rsidRDefault="0069790A" w:rsidP="0016304F">
            <w:pPr>
              <w:spacing w:after="0"/>
            </w:pPr>
            <w:r w:rsidRPr="0016304F">
              <w:t>Education</w:t>
            </w:r>
          </w:p>
        </w:tc>
        <w:tc>
          <w:tcPr>
            <w:tcW w:w="1667" w:type="pct"/>
            <w:shd w:val="clear" w:color="auto" w:fill="auto"/>
          </w:tcPr>
          <w:p w14:paraId="5B807F9A" w14:textId="77777777" w:rsidR="0069790A" w:rsidRPr="0016304F" w:rsidRDefault="0069790A" w:rsidP="0016304F">
            <w:pPr>
              <w:spacing w:after="0"/>
            </w:pPr>
            <w:r w:rsidRPr="0016304F">
              <w:t>Reducing the rates of early school leaving below 10%</w:t>
            </w:r>
          </w:p>
        </w:tc>
        <w:tc>
          <w:tcPr>
            <w:tcW w:w="1666" w:type="pct"/>
            <w:shd w:val="clear" w:color="auto" w:fill="auto"/>
          </w:tcPr>
          <w:p w14:paraId="6BAC2011" w14:textId="77777777" w:rsidR="0069790A" w:rsidRPr="0016304F" w:rsidRDefault="0069790A" w:rsidP="0016304F">
            <w:pPr>
              <w:spacing w:after="0"/>
            </w:pPr>
            <w:r w:rsidRPr="0016304F">
              <w:t>No target in NRP</w:t>
            </w:r>
          </w:p>
        </w:tc>
      </w:tr>
      <w:tr w:rsidR="0069790A" w:rsidRPr="0016304F" w14:paraId="11AF0C69" w14:textId="77777777" w:rsidTr="00B12ADE">
        <w:tc>
          <w:tcPr>
            <w:tcW w:w="1667" w:type="pct"/>
            <w:vMerge/>
            <w:shd w:val="clear" w:color="auto" w:fill="auto"/>
          </w:tcPr>
          <w:p w14:paraId="3B658189" w14:textId="77777777" w:rsidR="0069790A" w:rsidRPr="0016304F" w:rsidRDefault="0069790A" w:rsidP="0016304F">
            <w:pPr>
              <w:spacing w:after="0"/>
            </w:pPr>
          </w:p>
        </w:tc>
        <w:tc>
          <w:tcPr>
            <w:tcW w:w="1667" w:type="pct"/>
            <w:shd w:val="clear" w:color="auto" w:fill="auto"/>
          </w:tcPr>
          <w:p w14:paraId="402740A2" w14:textId="77777777" w:rsidR="0069790A" w:rsidRPr="0016304F" w:rsidRDefault="0069790A" w:rsidP="0016304F">
            <w:pPr>
              <w:spacing w:after="0"/>
            </w:pPr>
            <w:r w:rsidRPr="0016304F">
              <w:t>At least 40% of 30-34–year-olds completing third level education</w:t>
            </w:r>
          </w:p>
        </w:tc>
        <w:tc>
          <w:tcPr>
            <w:tcW w:w="1666" w:type="pct"/>
            <w:shd w:val="clear" w:color="auto" w:fill="auto"/>
          </w:tcPr>
          <w:p w14:paraId="3CE754DA" w14:textId="77777777" w:rsidR="0069790A" w:rsidRPr="0016304F" w:rsidRDefault="0069790A" w:rsidP="0016304F">
            <w:pPr>
              <w:spacing w:after="0"/>
            </w:pPr>
            <w:r w:rsidRPr="0016304F">
              <w:t>No target in NRP</w:t>
            </w:r>
          </w:p>
        </w:tc>
      </w:tr>
      <w:tr w:rsidR="0069790A" w:rsidRPr="0016304F" w14:paraId="24C329A7" w14:textId="77777777" w:rsidTr="00B12ADE">
        <w:tc>
          <w:tcPr>
            <w:tcW w:w="1667" w:type="pct"/>
            <w:shd w:val="clear" w:color="auto" w:fill="auto"/>
          </w:tcPr>
          <w:p w14:paraId="037BCA20" w14:textId="77777777" w:rsidR="0069790A" w:rsidRPr="0016304F" w:rsidRDefault="0069790A" w:rsidP="0016304F">
            <w:pPr>
              <w:spacing w:after="0"/>
            </w:pPr>
            <w:r w:rsidRPr="0016304F">
              <w:t>Fighting poverty and social exclusion</w:t>
            </w:r>
          </w:p>
        </w:tc>
        <w:tc>
          <w:tcPr>
            <w:tcW w:w="1667" w:type="pct"/>
            <w:shd w:val="clear" w:color="auto" w:fill="auto"/>
          </w:tcPr>
          <w:p w14:paraId="3F05E705" w14:textId="77777777" w:rsidR="0069790A" w:rsidRPr="0016304F" w:rsidRDefault="0069790A" w:rsidP="0016304F">
            <w:pPr>
              <w:spacing w:after="0"/>
            </w:pPr>
            <w:r w:rsidRPr="0016304F">
              <w:t>At least 20 million fewer people in or at risk of poverty and social exclusion</w:t>
            </w:r>
          </w:p>
        </w:tc>
        <w:tc>
          <w:tcPr>
            <w:tcW w:w="1666" w:type="pct"/>
            <w:shd w:val="clear" w:color="auto" w:fill="auto"/>
          </w:tcPr>
          <w:p w14:paraId="607C89E6" w14:textId="77777777" w:rsidR="0069790A" w:rsidRPr="0016304F" w:rsidRDefault="0069790A" w:rsidP="0016304F">
            <w:pPr>
              <w:spacing w:after="0"/>
            </w:pPr>
            <w:r w:rsidRPr="0016304F">
              <w:t>Existing numerical targets of the 2010 Child Poverty Act and C</w:t>
            </w:r>
            <w:r w:rsidR="002F2C31" w:rsidRPr="0016304F">
              <w:t>hild Poverty Strategy 2011-2014</w:t>
            </w:r>
          </w:p>
        </w:tc>
      </w:tr>
    </w:tbl>
    <w:p w14:paraId="6E21B120" w14:textId="77777777" w:rsidR="00C7318C" w:rsidRPr="0077606A" w:rsidRDefault="00C7318C" w:rsidP="0016304F">
      <w:pPr>
        <w:spacing w:after="0"/>
      </w:pPr>
    </w:p>
    <w:p w14:paraId="1D950114" w14:textId="77777777" w:rsidR="000336BD" w:rsidRDefault="00C13B17" w:rsidP="0016304F">
      <w:pPr>
        <w:pStyle w:val="Un-numberedsubheading"/>
        <w:spacing w:after="0"/>
      </w:pPr>
      <w:r w:rsidRPr="0077606A">
        <w:t>R</w:t>
      </w:r>
      <w:r w:rsidR="00A01CD2" w:rsidRPr="0077606A">
        <w:t>elevant</w:t>
      </w:r>
      <w:r w:rsidR="00DC521C" w:rsidRPr="0077606A">
        <w:t xml:space="preserve"> </w:t>
      </w:r>
      <w:r w:rsidR="000336BD" w:rsidRPr="0077606A">
        <w:t>disability</w:t>
      </w:r>
      <w:r w:rsidR="004E5CCD" w:rsidRPr="0077606A">
        <w:t xml:space="preserve"> </w:t>
      </w:r>
      <w:r w:rsidR="000336BD" w:rsidRPr="0077606A">
        <w:t>ta</w:t>
      </w:r>
      <w:r w:rsidR="000336BD" w:rsidRPr="0077606A">
        <w:rPr>
          <w:rStyle w:val="Un-numberedsubheadingChar"/>
        </w:rPr>
        <w:t>r</w:t>
      </w:r>
      <w:r w:rsidR="000336BD" w:rsidRPr="0077606A">
        <w:t>gets</w:t>
      </w:r>
      <w:r w:rsidR="00DC521C" w:rsidRPr="0077606A">
        <w:t xml:space="preserve"> from national </w:t>
      </w:r>
      <w:r w:rsidR="005E1C80" w:rsidRPr="0077606A">
        <w:t xml:space="preserve">strategies or </w:t>
      </w:r>
      <w:r w:rsidR="00DC521C" w:rsidRPr="0077606A">
        <w:t>sources</w:t>
      </w:r>
      <w:r w:rsidR="000336BD" w:rsidRPr="0077606A">
        <w:t>:</w:t>
      </w:r>
    </w:p>
    <w:p w14:paraId="785717D5" w14:textId="77777777" w:rsidR="0077606A" w:rsidRPr="0077606A" w:rsidRDefault="0077606A" w:rsidP="0016304F">
      <w:pPr>
        <w:pStyle w:val="Un-numberedsubheading"/>
        <w:spacing w:after="0"/>
      </w:pPr>
    </w:p>
    <w:p w14:paraId="403A2FBA" w14:textId="77777777" w:rsidR="00C676C7" w:rsidRDefault="000E38B1" w:rsidP="0016304F">
      <w:pPr>
        <w:spacing w:after="0"/>
      </w:pPr>
      <w:r w:rsidRPr="0077606A">
        <w:t xml:space="preserve">The UK </w:t>
      </w:r>
      <w:r w:rsidR="002F2C31" w:rsidRPr="0077606A">
        <w:t>remains</w:t>
      </w:r>
      <w:r w:rsidRPr="0077606A">
        <w:t xml:space="preserve"> the only EU Member State not to publish </w:t>
      </w:r>
      <w:r w:rsidR="00C676C7" w:rsidRPr="0077606A">
        <w:t>headline</w:t>
      </w:r>
      <w:r w:rsidRPr="0077606A">
        <w:t xml:space="preserve"> targets in the Europe 2020 framework. </w:t>
      </w:r>
    </w:p>
    <w:p w14:paraId="1345DB66" w14:textId="77777777" w:rsidR="0077606A" w:rsidRPr="0077606A" w:rsidRDefault="0077606A" w:rsidP="0016304F">
      <w:pPr>
        <w:spacing w:after="0"/>
      </w:pPr>
    </w:p>
    <w:p w14:paraId="79FE8FF3" w14:textId="6B81A0FA" w:rsidR="00C676C7" w:rsidRDefault="00C676C7" w:rsidP="0016304F">
      <w:pPr>
        <w:spacing w:after="0"/>
      </w:pPr>
      <w:r w:rsidRPr="0077606A">
        <w:t>In August 2015 the Secretary of State for Work and Pensions announced a Government target to halve the employment gap between disabled and non-disabled people, equivalent to ‘getting 1 million more disabled people into work’.</w:t>
      </w:r>
      <w:r w:rsidRPr="0077606A">
        <w:rPr>
          <w:rStyle w:val="FootnoteReference"/>
        </w:rPr>
        <w:footnoteReference w:id="2"/>
      </w:r>
      <w:r w:rsidRPr="0077606A">
        <w:t xml:space="preserve"> This commitment appear</w:t>
      </w:r>
      <w:r w:rsidR="009468D8">
        <w:t>ed</w:t>
      </w:r>
      <w:r w:rsidRPr="0077606A">
        <w:t xml:space="preserve"> to be based on research published by Scope in 2014 under a similar title,</w:t>
      </w:r>
      <w:r w:rsidRPr="0077606A">
        <w:rPr>
          <w:rStyle w:val="FootnoteReference"/>
        </w:rPr>
        <w:footnoteReference w:id="3"/>
      </w:r>
      <w:r w:rsidRPr="0077606A">
        <w:t xml:space="preserve"> and by the Trades Union Congress in 2015.</w:t>
      </w:r>
      <w:r w:rsidRPr="0077606A">
        <w:rPr>
          <w:rStyle w:val="FootnoteReference"/>
        </w:rPr>
        <w:footnoteReference w:id="4"/>
      </w:r>
      <w:r w:rsidR="002F2C31" w:rsidRPr="0077606A">
        <w:t xml:space="preserve"> It is not clear whether this target refers to Great Britain or to the whole of the United Kingdom.</w:t>
      </w:r>
      <w:r w:rsidR="009468D8">
        <w:t xml:space="preserve"> The commitment is prominent in the 2017 NRP, although not quantified as a target.</w:t>
      </w:r>
    </w:p>
    <w:p w14:paraId="35E54A73" w14:textId="77777777" w:rsidR="0077606A" w:rsidRPr="0077606A" w:rsidRDefault="0077606A" w:rsidP="0016304F">
      <w:pPr>
        <w:spacing w:after="0"/>
      </w:pPr>
    </w:p>
    <w:p w14:paraId="3865EA48" w14:textId="172BF2DD" w:rsidR="000E38B1" w:rsidRDefault="00C676C7" w:rsidP="0016304F">
      <w:pPr>
        <w:spacing w:after="0"/>
      </w:pPr>
      <w:r w:rsidRPr="0077606A">
        <w:t xml:space="preserve">The current national disability strategy </w:t>
      </w:r>
      <w:r w:rsidR="000E38B1" w:rsidRPr="0077606A">
        <w:rPr>
          <w:i/>
          <w:iCs/>
        </w:rPr>
        <w:t>Fulfilling Potential: making it happen</w:t>
      </w:r>
      <w:r w:rsidR="000E38B1" w:rsidRPr="0077606A">
        <w:rPr>
          <w:iCs/>
          <w:vertAlign w:val="superscript"/>
        </w:rPr>
        <w:footnoteReference w:id="5"/>
      </w:r>
      <w:r w:rsidR="000E38B1" w:rsidRPr="0077606A">
        <w:t xml:space="preserve"> </w:t>
      </w:r>
      <w:r w:rsidRPr="0077606A">
        <w:t xml:space="preserve">was published in 2013, </w:t>
      </w:r>
      <w:r w:rsidR="000E38B1" w:rsidRPr="0077606A">
        <w:t>together with an Action Plan</w:t>
      </w:r>
      <w:r w:rsidR="000E38B1" w:rsidRPr="0077606A">
        <w:rPr>
          <w:vertAlign w:val="superscript"/>
        </w:rPr>
        <w:footnoteReference w:id="6"/>
      </w:r>
      <w:r w:rsidR="000E38B1" w:rsidRPr="0077606A">
        <w:t xml:space="preserve"> </w:t>
      </w:r>
      <w:r w:rsidR="00933A80" w:rsidRPr="0077606A">
        <w:t>and</w:t>
      </w:r>
      <w:r w:rsidR="000E38B1" w:rsidRPr="0077606A">
        <w:t xml:space="preserve"> an ‘Outcomes and indicators framework’ in Annex</w:t>
      </w:r>
      <w:r w:rsidR="002F2C31" w:rsidRPr="0077606A">
        <w:t xml:space="preserve">, which </w:t>
      </w:r>
      <w:r w:rsidR="00933A80" w:rsidRPr="0077606A">
        <w:t xml:space="preserve">refers to </w:t>
      </w:r>
      <w:r w:rsidR="000E38B1" w:rsidRPr="0077606A">
        <w:t xml:space="preserve">headline and supporting indicators </w:t>
      </w:r>
      <w:r w:rsidR="00933A80" w:rsidRPr="0077606A">
        <w:t>on</w:t>
      </w:r>
      <w:r w:rsidR="000E38B1" w:rsidRPr="0077606A">
        <w:t xml:space="preserve"> education, employment and income</w:t>
      </w:r>
      <w:r w:rsidR="002F2C31" w:rsidRPr="0077606A">
        <w:t xml:space="preserve"> (see below)</w:t>
      </w:r>
      <w:r w:rsidR="000E38B1" w:rsidRPr="0077606A">
        <w:t xml:space="preserve">. </w:t>
      </w:r>
      <w:r w:rsidR="00933A80" w:rsidRPr="0077606A">
        <w:t>These</w:t>
      </w:r>
      <w:r w:rsidR="000E38B1" w:rsidRPr="0077606A">
        <w:t xml:space="preserve"> </w:t>
      </w:r>
      <w:r w:rsidR="00933A80" w:rsidRPr="0077606A">
        <w:t>were</w:t>
      </w:r>
      <w:r w:rsidR="000E38B1" w:rsidRPr="0077606A">
        <w:t xml:space="preserve"> further defined, and </w:t>
      </w:r>
      <w:r w:rsidR="000E38B1" w:rsidRPr="0077606A">
        <w:lastRenderedPageBreak/>
        <w:t>populated with data, in a separate Technical Annex document</w:t>
      </w:r>
      <w:r w:rsidR="002F2C31" w:rsidRPr="0077606A">
        <w:t>,</w:t>
      </w:r>
      <w:r w:rsidR="000E38B1" w:rsidRPr="0077606A">
        <w:rPr>
          <w:vertAlign w:val="superscript"/>
        </w:rPr>
        <w:footnoteReference w:id="7"/>
      </w:r>
      <w:r w:rsidR="000E38B1" w:rsidRPr="0077606A">
        <w:t xml:space="preserve"> </w:t>
      </w:r>
      <w:r w:rsidR="002F2C31" w:rsidRPr="0077606A">
        <w:t xml:space="preserve">updated </w:t>
      </w:r>
      <w:r w:rsidR="009468D8">
        <w:t xml:space="preserve">under the previous Coalition Government </w:t>
      </w:r>
      <w:r w:rsidR="002F2C31" w:rsidRPr="0077606A">
        <w:t>in September 2014.</w:t>
      </w:r>
      <w:r w:rsidR="002F2C31" w:rsidRPr="0077606A">
        <w:rPr>
          <w:rStyle w:val="FootnoteReference"/>
        </w:rPr>
        <w:footnoteReference w:id="8"/>
      </w:r>
      <w:r w:rsidR="002F2C31" w:rsidRPr="0077606A">
        <w:t xml:space="preserve"> </w:t>
      </w:r>
      <w:r w:rsidR="000E38B1" w:rsidRPr="0077606A">
        <w:t xml:space="preserve">There </w:t>
      </w:r>
      <w:r w:rsidR="00933A80" w:rsidRPr="0077606A">
        <w:t>were</w:t>
      </w:r>
      <w:r w:rsidR="000E38B1" w:rsidRPr="0077606A">
        <w:t xml:space="preserve"> </w:t>
      </w:r>
      <w:r w:rsidR="002F2C31" w:rsidRPr="0077606A">
        <w:t xml:space="preserve">strategy </w:t>
      </w:r>
      <w:r w:rsidR="000E38B1" w:rsidRPr="0077606A">
        <w:t xml:space="preserve">commitments to policy actions under each heading in the Action Plan but not </w:t>
      </w:r>
      <w:r w:rsidR="00A506E4" w:rsidRPr="0077606A">
        <w:t xml:space="preserve">quantifiable </w:t>
      </w:r>
      <w:r w:rsidR="000E38B1" w:rsidRPr="0077606A">
        <w:t>targets.</w:t>
      </w:r>
      <w:r w:rsidR="009468D8">
        <w:t xml:space="preserve"> No updates have been published since 2014.</w:t>
      </w:r>
    </w:p>
    <w:p w14:paraId="38D99117" w14:textId="77777777" w:rsidR="0077606A" w:rsidRPr="0077606A" w:rsidRDefault="0077606A" w:rsidP="0016304F">
      <w:pPr>
        <w:spacing w:after="0"/>
      </w:pPr>
    </w:p>
    <w:p w14:paraId="0D9FFD65" w14:textId="670975AD" w:rsidR="000E38B1" w:rsidRDefault="000E38B1" w:rsidP="0016304F">
      <w:pPr>
        <w:spacing w:after="0"/>
      </w:pPr>
      <w:r w:rsidRPr="0077606A">
        <w:t>The</w:t>
      </w:r>
      <w:r w:rsidR="00A506E4" w:rsidRPr="0077606A">
        <w:t xml:space="preserve"> relevant</w:t>
      </w:r>
      <w:r w:rsidRPr="0077606A">
        <w:t xml:space="preserve"> strategy indicators </w:t>
      </w:r>
      <w:r w:rsidR="009468D8">
        <w:t>were</w:t>
      </w:r>
      <w:r w:rsidR="009468D8" w:rsidRPr="0077606A">
        <w:t xml:space="preserve"> </w:t>
      </w:r>
      <w:r w:rsidR="002F2C31" w:rsidRPr="0077606A">
        <w:t>similar to</w:t>
      </w:r>
      <w:r w:rsidRPr="0077606A">
        <w:t xml:space="preserve"> the EU2020 </w:t>
      </w:r>
      <w:r w:rsidR="00933A80" w:rsidRPr="0077606A">
        <w:t>indicators</w:t>
      </w:r>
      <w:r w:rsidRPr="0077606A">
        <w:t xml:space="preserve"> in the following respects:</w:t>
      </w:r>
    </w:p>
    <w:p w14:paraId="4DC8BD98" w14:textId="77777777" w:rsidR="0077606A" w:rsidRPr="0077606A" w:rsidRDefault="0077606A" w:rsidP="0016304F">
      <w:pPr>
        <w:spacing w:after="0"/>
      </w:pPr>
    </w:p>
    <w:p w14:paraId="291E4903" w14:textId="77777777" w:rsidR="000E38B1" w:rsidRDefault="000E38B1" w:rsidP="0016304F">
      <w:pPr>
        <w:spacing w:after="0"/>
        <w:ind w:left="720"/>
      </w:pPr>
      <w:r w:rsidRPr="0077606A">
        <w:rPr>
          <w:b/>
          <w:bCs/>
        </w:rPr>
        <w:t>Employment</w:t>
      </w:r>
      <w:r w:rsidRPr="0077606A">
        <w:t xml:space="preserve"> - ‘The employment rate gap between disabled and non-disabled people’</w:t>
      </w:r>
    </w:p>
    <w:p w14:paraId="09E3B4EF" w14:textId="77777777" w:rsidR="0077606A" w:rsidRPr="0077606A" w:rsidRDefault="0077606A" w:rsidP="0016304F">
      <w:pPr>
        <w:spacing w:after="0"/>
        <w:ind w:left="720"/>
      </w:pPr>
    </w:p>
    <w:p w14:paraId="7FA0FB2E" w14:textId="77777777" w:rsidR="000E38B1" w:rsidRDefault="000E38B1" w:rsidP="0016304F">
      <w:pPr>
        <w:spacing w:after="0"/>
        <w:ind w:left="720"/>
      </w:pPr>
      <w:r w:rsidRPr="0077606A">
        <w:rPr>
          <w:b/>
          <w:bCs/>
        </w:rPr>
        <w:t>Education</w:t>
      </w:r>
      <w:r w:rsidRPr="0077606A">
        <w:t xml:space="preserve"> - ‘The gap in educational attainment between disabled and non-disabled young people at three key stages – GSCE, A-Level (or equivalent), and degree level’.</w:t>
      </w:r>
    </w:p>
    <w:p w14:paraId="5DD1030E" w14:textId="77777777" w:rsidR="0077606A" w:rsidRPr="0077606A" w:rsidRDefault="0077606A" w:rsidP="0016304F">
      <w:pPr>
        <w:spacing w:after="0"/>
        <w:ind w:left="720"/>
      </w:pPr>
    </w:p>
    <w:p w14:paraId="366F06EE" w14:textId="77777777" w:rsidR="000E38B1" w:rsidRDefault="000E38B1" w:rsidP="0016304F">
      <w:pPr>
        <w:spacing w:after="0"/>
        <w:ind w:left="720"/>
      </w:pPr>
      <w:r w:rsidRPr="0077606A">
        <w:t>Amongst the supporting indicators, the following relevant items are in development:</w:t>
      </w:r>
    </w:p>
    <w:p w14:paraId="5C699FF1" w14:textId="77777777" w:rsidR="0077606A" w:rsidRPr="0077606A" w:rsidRDefault="0077606A" w:rsidP="0016304F">
      <w:pPr>
        <w:spacing w:after="0"/>
        <w:ind w:left="720"/>
      </w:pPr>
    </w:p>
    <w:p w14:paraId="5B29C554" w14:textId="6779D92C" w:rsidR="000E38B1" w:rsidRPr="00C35EC2" w:rsidRDefault="000E38B1" w:rsidP="0016304F">
      <w:pPr>
        <w:pStyle w:val="Un-numberedsubheading"/>
        <w:numPr>
          <w:ilvl w:val="0"/>
          <w:numId w:val="32"/>
        </w:numPr>
        <w:spacing w:after="0"/>
        <w:ind w:left="1287" w:hanging="567"/>
        <w:rPr>
          <w:rFonts w:eastAsiaTheme="minorHAnsi"/>
          <w:b w:val="0"/>
          <w:lang w:val="en-US"/>
        </w:rPr>
      </w:pPr>
      <w:r w:rsidRPr="00C35EC2">
        <w:rPr>
          <w:rFonts w:eastAsiaTheme="minorHAnsi"/>
          <w:b w:val="0"/>
          <w:lang w:val="en-US"/>
        </w:rPr>
        <w:t>‘the proportion of 16 year olds in full-time education’</w:t>
      </w:r>
      <w:r w:rsidR="00C35EC2">
        <w:rPr>
          <w:rFonts w:eastAsiaTheme="minorHAnsi"/>
          <w:b w:val="0"/>
          <w:lang w:val="en-US"/>
        </w:rPr>
        <w:t>;</w:t>
      </w:r>
    </w:p>
    <w:p w14:paraId="6C840D1E" w14:textId="6E8939F9" w:rsidR="000E38B1" w:rsidRPr="00C35EC2" w:rsidRDefault="000E38B1" w:rsidP="0016304F">
      <w:pPr>
        <w:pStyle w:val="Un-numberedsubheading"/>
        <w:numPr>
          <w:ilvl w:val="0"/>
          <w:numId w:val="32"/>
        </w:numPr>
        <w:spacing w:after="0"/>
        <w:ind w:left="1287" w:hanging="567"/>
        <w:rPr>
          <w:b w:val="0"/>
        </w:rPr>
      </w:pPr>
      <w:r w:rsidRPr="00C35EC2">
        <w:rPr>
          <w:b w:val="0"/>
        </w:rPr>
        <w:t xml:space="preserve">‘the </w:t>
      </w:r>
      <w:r w:rsidRPr="00C35EC2">
        <w:rPr>
          <w:rFonts w:eastAsiaTheme="minorHAnsi"/>
          <w:b w:val="0"/>
          <w:lang w:val="en-US"/>
        </w:rPr>
        <w:t>proportion</w:t>
      </w:r>
      <w:r w:rsidRPr="00C35EC2">
        <w:rPr>
          <w:b w:val="0"/>
        </w:rPr>
        <w:t xml:space="preserve"> of young people in higher education at age 19’</w:t>
      </w:r>
      <w:r w:rsidR="00C35EC2">
        <w:rPr>
          <w:b w:val="0"/>
        </w:rPr>
        <w:t>;</w:t>
      </w:r>
    </w:p>
    <w:p w14:paraId="20F81D6E" w14:textId="3CBD3C07" w:rsidR="000E38B1" w:rsidRPr="00C35EC2" w:rsidRDefault="000E38B1" w:rsidP="0016304F">
      <w:pPr>
        <w:pStyle w:val="Un-numberedsubheading"/>
        <w:numPr>
          <w:ilvl w:val="0"/>
          <w:numId w:val="32"/>
        </w:numPr>
        <w:spacing w:after="0"/>
        <w:ind w:left="1287" w:hanging="567"/>
        <w:rPr>
          <w:b w:val="0"/>
        </w:rPr>
      </w:pPr>
      <w:r w:rsidRPr="00C35EC2">
        <w:rPr>
          <w:b w:val="0"/>
        </w:rPr>
        <w:t>‘</w:t>
      </w:r>
      <w:r w:rsidRPr="00C35EC2">
        <w:rPr>
          <w:rFonts w:eastAsiaTheme="minorHAnsi"/>
          <w:b w:val="0"/>
          <w:lang w:val="en-US"/>
        </w:rPr>
        <w:t>students</w:t>
      </w:r>
      <w:r w:rsidRPr="00C35EC2">
        <w:rPr>
          <w:b w:val="0"/>
        </w:rPr>
        <w:t xml:space="preserve"> who do not continue in higher education after their first year’</w:t>
      </w:r>
      <w:r w:rsidR="00C35EC2">
        <w:rPr>
          <w:b w:val="0"/>
        </w:rPr>
        <w:t>;</w:t>
      </w:r>
    </w:p>
    <w:p w14:paraId="698DBD3B" w14:textId="27B50511" w:rsidR="000E38B1" w:rsidRPr="00C35EC2" w:rsidRDefault="000E38B1" w:rsidP="0016304F">
      <w:pPr>
        <w:pStyle w:val="Un-numberedsubheading"/>
        <w:numPr>
          <w:ilvl w:val="0"/>
          <w:numId w:val="32"/>
        </w:numPr>
        <w:spacing w:after="0"/>
        <w:ind w:left="1287" w:hanging="567"/>
        <w:rPr>
          <w:b w:val="0"/>
        </w:rPr>
      </w:pPr>
      <w:r w:rsidRPr="00C35EC2">
        <w:rPr>
          <w:b w:val="0"/>
        </w:rPr>
        <w:t>‘young people Not in Education Employment or Training (NEET)’</w:t>
      </w:r>
      <w:r w:rsidR="00C35EC2">
        <w:rPr>
          <w:b w:val="0"/>
        </w:rPr>
        <w:t>.</w:t>
      </w:r>
    </w:p>
    <w:p w14:paraId="7DA16A14" w14:textId="77777777" w:rsidR="0077606A" w:rsidRPr="0077606A" w:rsidRDefault="0077606A" w:rsidP="0016304F">
      <w:pPr>
        <w:spacing w:after="0"/>
        <w:ind w:left="1440"/>
      </w:pPr>
    </w:p>
    <w:p w14:paraId="346F85D1" w14:textId="77777777" w:rsidR="000E38B1" w:rsidRDefault="000E38B1" w:rsidP="0016304F">
      <w:pPr>
        <w:spacing w:after="0"/>
        <w:ind w:left="720"/>
      </w:pPr>
      <w:r w:rsidRPr="0077606A">
        <w:rPr>
          <w:b/>
          <w:bCs/>
        </w:rPr>
        <w:t>Income</w:t>
      </w:r>
      <w:r w:rsidRPr="0077606A">
        <w:t xml:space="preserve"> - ‘The gap between the proportion of individuals in families where at least one person is disabled living in low income, and individuals in families where no-one is disabled living in low income’</w:t>
      </w:r>
      <w:r w:rsidR="00A506E4" w:rsidRPr="0077606A">
        <w:t xml:space="preserve">, and, </w:t>
      </w:r>
      <w:r w:rsidRPr="0077606A">
        <w:t>‘The gap between the proportion of children living in families in low income with a disabled member, and children living in families in low income where no-one is disabled’.</w:t>
      </w:r>
    </w:p>
    <w:p w14:paraId="356D62D7" w14:textId="77777777" w:rsidR="0077606A" w:rsidRPr="0077606A" w:rsidRDefault="0077606A" w:rsidP="0016304F">
      <w:pPr>
        <w:spacing w:after="0"/>
      </w:pPr>
    </w:p>
    <w:p w14:paraId="39EE7470" w14:textId="572F3335" w:rsidR="000D58DB" w:rsidRDefault="009B7116" w:rsidP="0016304F">
      <w:pPr>
        <w:spacing w:after="0"/>
      </w:pPr>
      <w:r w:rsidRPr="0077606A">
        <w:t>The</w:t>
      </w:r>
      <w:r w:rsidR="0044100E" w:rsidRPr="0077606A">
        <w:t xml:space="preserve"> Scottish Government published </w:t>
      </w:r>
      <w:r w:rsidR="00957742">
        <w:t xml:space="preserve">its </w:t>
      </w:r>
      <w:r w:rsidR="0044100E" w:rsidRPr="0077606A">
        <w:t>Delivery Plan on the CRPD</w:t>
      </w:r>
      <w:r w:rsidR="009468D8">
        <w:t xml:space="preserve"> in December 2016</w:t>
      </w:r>
      <w:r w:rsidR="0044100E" w:rsidRPr="0077606A">
        <w:t xml:space="preserve">, </w:t>
      </w:r>
      <w:r w:rsidR="009468D8">
        <w:t>following</w:t>
      </w:r>
      <w:r w:rsidR="009468D8" w:rsidRPr="0077606A">
        <w:t xml:space="preserve"> </w:t>
      </w:r>
      <w:r w:rsidR="0044100E" w:rsidRPr="0077606A">
        <w:t>pubic consultation.</w:t>
      </w:r>
      <w:r w:rsidR="0044100E" w:rsidRPr="0077606A">
        <w:rPr>
          <w:rStyle w:val="FootnoteReference"/>
        </w:rPr>
        <w:footnoteReference w:id="9"/>
      </w:r>
      <w:r w:rsidR="0044100E" w:rsidRPr="0077606A">
        <w:t xml:space="preserve"> This covers the period </w:t>
      </w:r>
      <w:r w:rsidR="000D58DB">
        <w:t>to 2021</w:t>
      </w:r>
      <w:r w:rsidR="0044100E" w:rsidRPr="0077606A">
        <w:t xml:space="preserve"> and includes </w:t>
      </w:r>
      <w:r w:rsidR="000D58DB">
        <w:t xml:space="preserve">a section on ‘Measuring progress’ although </w:t>
      </w:r>
      <w:r w:rsidR="00957742">
        <w:t>it</w:t>
      </w:r>
      <w:r w:rsidR="000D58DB">
        <w:t xml:space="preserve"> does not include actual measures. There are </w:t>
      </w:r>
      <w:r w:rsidR="00957742">
        <w:t>commitments</w:t>
      </w:r>
      <w:r w:rsidR="000D58DB">
        <w:t xml:space="preserve"> to consult with disabled people’s organisations on </w:t>
      </w:r>
      <w:r w:rsidR="00386DD8">
        <w:t xml:space="preserve">suitable </w:t>
      </w:r>
      <w:r w:rsidR="000D58DB">
        <w:t>targets for workforce participation.</w:t>
      </w:r>
    </w:p>
    <w:p w14:paraId="4075A99F" w14:textId="61A71231" w:rsidR="00933A80" w:rsidRPr="0077606A" w:rsidRDefault="00933A80" w:rsidP="0016304F">
      <w:pPr>
        <w:spacing w:after="0"/>
      </w:pPr>
    </w:p>
    <w:p w14:paraId="7CF91897" w14:textId="6977A437" w:rsidR="0044100E" w:rsidRDefault="0044100E" w:rsidP="0016304F">
      <w:pPr>
        <w:spacing w:after="0"/>
      </w:pPr>
      <w:r w:rsidRPr="0077606A">
        <w:t xml:space="preserve">The Disability Strategy of the Northern Ireland Executive 2012-2015 </w:t>
      </w:r>
      <w:r w:rsidR="000D58DB">
        <w:t>(</w:t>
      </w:r>
      <w:r w:rsidRPr="0077606A">
        <w:t>extended to March 2017</w:t>
      </w:r>
      <w:r w:rsidR="000D58DB">
        <w:t>) did include a baseline indicator set</w:t>
      </w:r>
      <w:r w:rsidR="00957742">
        <w:t>,</w:t>
      </w:r>
      <w:r w:rsidR="000D58DB">
        <w:t xml:space="preserve"> although without </w:t>
      </w:r>
      <w:r w:rsidR="000D58DB" w:rsidRPr="0077606A">
        <w:t>quantifiable targets</w:t>
      </w:r>
      <w:r w:rsidR="000D58DB">
        <w:t>.</w:t>
      </w:r>
      <w:r w:rsidR="000D58DB" w:rsidRPr="0077606A">
        <w:rPr>
          <w:rStyle w:val="FootnoteReference"/>
        </w:rPr>
        <w:footnoteReference w:id="10"/>
      </w:r>
      <w:r w:rsidR="00873B4A" w:rsidRPr="0077606A">
        <w:t xml:space="preserve"> </w:t>
      </w:r>
    </w:p>
    <w:p w14:paraId="790A18FD" w14:textId="77777777" w:rsidR="00957742" w:rsidRDefault="00957742" w:rsidP="0016304F">
      <w:pPr>
        <w:spacing w:after="0"/>
      </w:pPr>
    </w:p>
    <w:p w14:paraId="136D8A23" w14:textId="34CA12FB" w:rsidR="00957742" w:rsidRPr="0077606A" w:rsidRDefault="00957742" w:rsidP="0016304F">
      <w:pPr>
        <w:spacing w:after="0"/>
      </w:pPr>
      <w:r>
        <w:t xml:space="preserve">The Welsh Government maintains a </w:t>
      </w:r>
      <w:r w:rsidRPr="00957742">
        <w:t>Framework for Action on Independent Living</w:t>
      </w:r>
      <w:r>
        <w:t xml:space="preserve"> as part of its Strategic Equality Plan, for which Outcome Measures were published in </w:t>
      </w:r>
      <w:r>
        <w:lastRenderedPageBreak/>
        <w:t>2014-15.</w:t>
      </w:r>
      <w:r>
        <w:rPr>
          <w:rStyle w:val="FootnoteReference"/>
        </w:rPr>
        <w:footnoteReference w:id="11"/>
      </w:r>
      <w:r>
        <w:t xml:space="preserve"> These included some measures of employment rates and access to services.</w:t>
      </w:r>
    </w:p>
    <w:p w14:paraId="7B316545" w14:textId="77777777" w:rsidR="00503F97" w:rsidRPr="0077606A" w:rsidRDefault="00503F97" w:rsidP="0016304F">
      <w:pPr>
        <w:spacing w:after="0"/>
      </w:pPr>
    </w:p>
    <w:p w14:paraId="3106F131" w14:textId="77777777" w:rsidR="005C75D8" w:rsidRDefault="005C75D8" w:rsidP="0016304F">
      <w:pPr>
        <w:pStyle w:val="Heading3"/>
      </w:pPr>
      <w:bookmarkStart w:id="4" w:name="_Toc511056633"/>
      <w:r w:rsidRPr="0077606A">
        <w:t xml:space="preserve">A note on </w:t>
      </w:r>
      <w:r w:rsidR="00092B8F" w:rsidRPr="0077606A">
        <w:t xml:space="preserve">the use of </w:t>
      </w:r>
      <w:r w:rsidR="002E420B" w:rsidRPr="0077606A">
        <w:t>EU</w:t>
      </w:r>
      <w:r w:rsidR="00092B8F" w:rsidRPr="0077606A">
        <w:t xml:space="preserve"> </w:t>
      </w:r>
      <w:r w:rsidRPr="0077606A">
        <w:t>data</w:t>
      </w:r>
      <w:bookmarkEnd w:id="4"/>
    </w:p>
    <w:p w14:paraId="725FB8A5" w14:textId="77777777" w:rsidR="0077606A" w:rsidRPr="0077606A" w:rsidRDefault="0077606A" w:rsidP="0016304F">
      <w:pPr>
        <w:spacing w:after="0"/>
      </w:pPr>
    </w:p>
    <w:p w14:paraId="7C94FDE4" w14:textId="77777777" w:rsidR="00CF4E68" w:rsidRDefault="00CF4E68" w:rsidP="0016304F">
      <w:pPr>
        <w:pStyle w:val="BodyText"/>
        <w:spacing w:after="0"/>
      </w:pPr>
      <w:r>
        <w:t>Unless specified, the summary statistics presented in this report are drawn from 2015 EU-SILC micro data.</w:t>
      </w:r>
      <w:r>
        <w:rPr>
          <w:rStyle w:val="FootnoteReference"/>
        </w:rPr>
        <w:footnoteReference w:id="12"/>
      </w:r>
      <w:r>
        <w:t xml:space="preserve"> The EU-SILC sample includes people living in private households and does not include people living in institutions. The proxy used to identify people with disabilities (impairments) is whether ‘for at least the past 6 months’ the respondent reports that they have been ‘limited </w:t>
      </w:r>
      <w:r w:rsidRPr="00092B8F">
        <w:t>because of a health problem in activities people usually do</w:t>
      </w:r>
      <w:r>
        <w:t>’</w:t>
      </w:r>
      <w:r w:rsidRPr="005C75D8">
        <w:t>.</w:t>
      </w:r>
      <w:r>
        <w:rPr>
          <w:rStyle w:val="FootnoteReference"/>
        </w:rPr>
        <w:footnoteReference w:id="13"/>
      </w:r>
      <w:r w:rsidRPr="005C75D8">
        <w:t xml:space="preserve"> </w:t>
      </w:r>
      <w:r>
        <w:t>Responses to this question vary between countries and national data sources</w:t>
      </w:r>
      <w:r w:rsidRPr="00092B8F">
        <w:t xml:space="preserve"> </w:t>
      </w:r>
      <w:r>
        <w:t>are added for comparison, where available.</w:t>
      </w:r>
    </w:p>
    <w:p w14:paraId="7ADD06D7" w14:textId="77777777" w:rsidR="00CF4E68" w:rsidRDefault="00CF4E68" w:rsidP="0016304F">
      <w:pPr>
        <w:pStyle w:val="BodyText"/>
        <w:spacing w:after="0"/>
      </w:pPr>
      <w:r>
        <w:t>In 2015 there was a break in the German data (with significantly reduced prevalence estimates). As Germany is a very large country, this affected both the German national indicators and EU average indicators for this year. For example, the EU28 average disability prevalence indicator decreased between 2014 and 2015 but increased, as in previous years, if Germany is excluded. A similar trend is evident for the EU average employment rate of persons.</w:t>
      </w:r>
    </w:p>
    <w:p w14:paraId="0C5C5F6B" w14:textId="77777777" w:rsidR="00CF4E68" w:rsidRDefault="00CF4E68" w:rsidP="0016304F">
      <w:pPr>
        <w:pStyle w:val="BodyText"/>
        <w:spacing w:after="0"/>
      </w:pPr>
    </w:p>
    <w:p w14:paraId="4EC54258" w14:textId="77777777" w:rsidR="00CF4E68" w:rsidRDefault="00CF4E68" w:rsidP="0016304F">
      <w:pPr>
        <w:pStyle w:val="Caption"/>
        <w:keepNext/>
        <w:keepLines/>
      </w:pPr>
      <w:r>
        <w:lastRenderedPageBreak/>
        <w:t xml:space="preserve">Table </w:t>
      </w:r>
      <w:r w:rsidR="0016304F">
        <w:fldChar w:fldCharType="begin"/>
      </w:r>
      <w:r w:rsidR="0016304F">
        <w:instrText xml:space="preserve"> SEQ Table \* ARABIC </w:instrText>
      </w:r>
      <w:r w:rsidR="0016304F">
        <w:fldChar w:fldCharType="separate"/>
      </w:r>
      <w:r>
        <w:rPr>
          <w:noProof/>
        </w:rPr>
        <w:t>2</w:t>
      </w:r>
      <w:r w:rsidR="0016304F">
        <w:rPr>
          <w:noProof/>
        </w:rPr>
        <w:fldChar w:fldCharType="end"/>
      </w:r>
      <w:r>
        <w:t>: Self-reported</w:t>
      </w:r>
      <w:r w:rsidRPr="003A2135">
        <w:t xml:space="preserve"> </w:t>
      </w:r>
      <w:r>
        <w:t>‘</w:t>
      </w:r>
      <w:r w:rsidRPr="003A2135">
        <w:t>activity limitations</w:t>
      </w:r>
      <w:r>
        <w:t>’</w:t>
      </w:r>
      <w:r w:rsidRPr="003A2135">
        <w:t xml:space="preserve"> </w:t>
      </w:r>
      <w:r>
        <w:t xml:space="preserve">as a proxy for impairment/disability </w:t>
      </w:r>
      <w:r w:rsidRPr="003A2135">
        <w:t xml:space="preserve">(EU-SILC </w:t>
      </w:r>
      <w:r>
        <w:t>2015</w:t>
      </w:r>
      <w:r w:rsidRPr="003A2135">
        <w:t>)</w:t>
      </w:r>
    </w:p>
    <w:p w14:paraId="008F05D6" w14:textId="77777777" w:rsidR="00CF4E68" w:rsidRDefault="00CF4E68" w:rsidP="0016304F">
      <w:pPr>
        <w:keepNext/>
        <w:keepLines/>
        <w:spacing w:after="0"/>
      </w:pPr>
      <w:r>
        <w:rPr>
          <w:noProof/>
          <w:lang w:eastAsia="en-GB"/>
        </w:rPr>
        <w:drawing>
          <wp:inline distT="0" distB="0" distL="0" distR="0" wp14:anchorId="1DAEA6D8" wp14:editId="7172B63D">
            <wp:extent cx="5583044" cy="4222595"/>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DF8A62" w14:textId="77777777" w:rsidR="00CF4E68" w:rsidRDefault="00CF4E68" w:rsidP="0016304F">
      <w:pPr>
        <w:pStyle w:val="Sourcereference"/>
        <w:keepNext/>
        <w:keepLines/>
        <w:rPr>
          <w:lang w:eastAsia="en-GB"/>
        </w:rPr>
      </w:pPr>
      <w:r w:rsidRPr="00EF3CB6">
        <w:t xml:space="preserve">Source: </w:t>
      </w:r>
      <w:r w:rsidRPr="00EF3CB6">
        <w:rPr>
          <w:lang w:eastAsia="en-GB"/>
        </w:rPr>
        <w:t xml:space="preserve">EUSILC UDB </w:t>
      </w:r>
      <w:r>
        <w:rPr>
          <w:lang w:eastAsia="en-GB"/>
        </w:rPr>
        <w:t>2015</w:t>
      </w:r>
      <w:r w:rsidRPr="00EF3CB6">
        <w:rPr>
          <w:lang w:eastAsia="en-GB"/>
        </w:rPr>
        <w:t xml:space="preserve"> – version </w:t>
      </w:r>
      <w:r>
        <w:rPr>
          <w:lang w:eastAsia="en-GB"/>
        </w:rPr>
        <w:t>of October 2017</w:t>
      </w:r>
    </w:p>
    <w:p w14:paraId="5FCC8873" w14:textId="11056C18" w:rsidR="00CF4E68" w:rsidRDefault="00CF4E68" w:rsidP="0016304F">
      <w:pPr>
        <w:pStyle w:val="Sourcereference"/>
        <w:keepNext/>
        <w:keepLines/>
        <w:rPr>
          <w:lang w:eastAsia="en-GB"/>
        </w:rPr>
      </w:pPr>
      <w:r>
        <w:rPr>
          <w:lang w:eastAsia="en-GB"/>
        </w:rPr>
        <w:t>Note: the UK disability prevalence estimates fall below the EU28 average in all categories. This might affect the estimation of outcome indicators based upon them.</w:t>
      </w:r>
    </w:p>
    <w:p w14:paraId="6D8BBCD5" w14:textId="77777777" w:rsidR="0016304F" w:rsidRDefault="0016304F" w:rsidP="0016304F">
      <w:pPr>
        <w:pStyle w:val="BodyText"/>
        <w:spacing w:after="0"/>
        <w:rPr>
          <w:lang w:eastAsia="en-GB"/>
        </w:rPr>
      </w:pPr>
    </w:p>
    <w:p w14:paraId="740B88A4" w14:textId="1FF3F85D" w:rsidR="00DF1931" w:rsidRPr="00DF1931" w:rsidRDefault="00CF4E68" w:rsidP="0016304F">
      <w:pPr>
        <w:pStyle w:val="BodyText"/>
        <w:spacing w:after="0"/>
        <w:rPr>
          <w:b/>
          <w:bCs/>
        </w:rPr>
      </w:pPr>
      <w:r w:rsidRPr="00F44CD5">
        <w:t xml:space="preserve">In subsequent tables, these data are used </w:t>
      </w:r>
      <w:r>
        <w:t xml:space="preserve">as a proxy </w:t>
      </w:r>
      <w:r w:rsidRPr="00F44CD5">
        <w:t xml:space="preserve">to estimate </w:t>
      </w:r>
      <w:r>
        <w:t>‘disability’ equality</w:t>
      </w:r>
      <w:r w:rsidRPr="00F44CD5">
        <w:t xml:space="preserve"> in the main target areas for EU2020 – employment, education and poverty risk.</w:t>
      </w:r>
      <w:r w:rsidRPr="00F44CD5">
        <w:rPr>
          <w:rStyle w:val="FootnoteReference"/>
        </w:rPr>
        <w:footnoteReference w:id="14"/>
      </w:r>
      <w:r>
        <w:t xml:space="preserve"> The tables are presented by disaggregating the estimated proportion of people who report and do not report limitations for each indicator (e.g. among those who are employed, unemployed, at risk of poverty, etc.)</w:t>
      </w:r>
      <w:r w:rsidR="00DF1931" w:rsidRPr="00DF1931">
        <w:t>.</w:t>
      </w:r>
    </w:p>
    <w:p w14:paraId="2D4B0AE4" w14:textId="2B72119B" w:rsidR="00AF323E" w:rsidRPr="0077606A" w:rsidRDefault="00AF323E" w:rsidP="0016304F">
      <w:pPr>
        <w:pStyle w:val="BodyText"/>
        <w:spacing w:after="0"/>
      </w:pPr>
    </w:p>
    <w:p w14:paraId="32ED8B18" w14:textId="3AA1FBDA" w:rsidR="00A1631D" w:rsidRDefault="00A1631D" w:rsidP="0016304F">
      <w:pPr>
        <w:pStyle w:val="BodyText"/>
        <w:spacing w:after="0"/>
      </w:pPr>
      <w:r w:rsidRPr="0077606A">
        <w:t xml:space="preserve">In the UK, the cross-sectional EU-SILC data has been collected from the sample of the national Family Resources Survey (FRS) since 2012, before which it came from the sample of the General Household Survey or General Lifestyle Survey. </w:t>
      </w:r>
      <w:r w:rsidR="00803B83">
        <w:t>Since</w:t>
      </w:r>
      <w:r w:rsidR="00803B83" w:rsidRPr="0077606A">
        <w:t xml:space="preserve"> </w:t>
      </w:r>
      <w:r w:rsidRPr="0077606A">
        <w:t>2015 all of the longitudinal data used by EU-SILC comes from the FRS sample.</w:t>
      </w:r>
    </w:p>
    <w:p w14:paraId="5DFDEF62" w14:textId="77777777" w:rsidR="0077606A" w:rsidRPr="0077606A" w:rsidRDefault="0077606A" w:rsidP="0016304F">
      <w:pPr>
        <w:pStyle w:val="BodyText"/>
        <w:spacing w:after="0"/>
        <w:rPr>
          <w:rFonts w:eastAsia="SimSun"/>
          <w:b/>
          <w:bCs/>
        </w:rPr>
      </w:pPr>
    </w:p>
    <w:p w14:paraId="71D5705E" w14:textId="77777777" w:rsidR="00BC5855" w:rsidRDefault="000D320A" w:rsidP="0016304F">
      <w:pPr>
        <w:pStyle w:val="Heading2"/>
        <w:spacing w:after="0"/>
        <w:rPr>
          <w:szCs w:val="24"/>
        </w:rPr>
      </w:pPr>
      <w:bookmarkStart w:id="5" w:name="_Toc511056634"/>
      <w:r w:rsidRPr="0077606A">
        <w:rPr>
          <w:szCs w:val="24"/>
        </w:rPr>
        <w:t xml:space="preserve">Employment </w:t>
      </w:r>
      <w:r w:rsidR="00D72CA8" w:rsidRPr="0077606A">
        <w:rPr>
          <w:szCs w:val="24"/>
        </w:rPr>
        <w:t>data</w:t>
      </w:r>
      <w:bookmarkEnd w:id="5"/>
    </w:p>
    <w:p w14:paraId="042ECF5A" w14:textId="77777777" w:rsidR="00B77F7D" w:rsidRDefault="00B77F7D" w:rsidP="0016304F">
      <w:pPr>
        <w:spacing w:after="0"/>
      </w:pPr>
    </w:p>
    <w:p w14:paraId="58055BE6" w14:textId="2BCA1FB3" w:rsidR="00404D1C" w:rsidRDefault="00404D1C" w:rsidP="0016304F">
      <w:pPr>
        <w:pStyle w:val="Caption"/>
        <w:keepNext/>
      </w:pPr>
      <w:r>
        <w:lastRenderedPageBreak/>
        <w:t xml:space="preserve">Table </w:t>
      </w:r>
      <w:r w:rsidR="0016304F">
        <w:fldChar w:fldCharType="begin"/>
      </w:r>
      <w:r w:rsidR="0016304F">
        <w:instrText xml:space="preserve"> SEQ Table \* ARABIC </w:instrText>
      </w:r>
      <w:r w:rsidR="0016304F">
        <w:fldChar w:fldCharType="separate"/>
      </w:r>
      <w:r>
        <w:rPr>
          <w:noProof/>
        </w:rPr>
        <w:t>3</w:t>
      </w:r>
      <w:r w:rsidR="0016304F">
        <w:rPr>
          <w:noProof/>
        </w:rPr>
        <w:fldChar w:fldCharType="end"/>
      </w:r>
      <w:r>
        <w:rPr>
          <w:noProof/>
        </w:rPr>
        <w:t>: Most</w:t>
      </w:r>
      <w:r w:rsidRPr="00763664">
        <w:rPr>
          <w:noProof/>
        </w:rPr>
        <w:t xml:space="preserve"> </w:t>
      </w:r>
      <w:r>
        <w:rPr>
          <w:noProof/>
        </w:rPr>
        <w:t xml:space="preserve">recent </w:t>
      </w:r>
      <w:r w:rsidRPr="00763664">
        <w:rPr>
          <w:noProof/>
        </w:rPr>
        <w:t xml:space="preserve">employment </w:t>
      </w:r>
      <w:r>
        <w:rPr>
          <w:noProof/>
        </w:rPr>
        <w:t>data, aged 20-64</w:t>
      </w:r>
    </w:p>
    <w:p w14:paraId="60A360B1" w14:textId="77777777" w:rsidR="00404D1C" w:rsidRDefault="00404D1C" w:rsidP="0016304F">
      <w:pPr>
        <w:spacing w:after="0"/>
      </w:pPr>
      <w:r>
        <w:rPr>
          <w:noProof/>
          <w:lang w:eastAsia="en-GB"/>
        </w:rPr>
        <w:drawing>
          <wp:inline distT="0" distB="0" distL="0" distR="0" wp14:anchorId="1F2192F5" wp14:editId="660F845D">
            <wp:extent cx="5581934" cy="2361062"/>
            <wp:effectExtent l="0" t="0" r="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C153D8"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16A8C7AE" w14:textId="77777777" w:rsidR="0016304F" w:rsidRDefault="0016304F" w:rsidP="0016304F">
      <w:pPr>
        <w:pStyle w:val="Caption"/>
      </w:pPr>
    </w:p>
    <w:p w14:paraId="71BA74BC" w14:textId="238A95FD"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4</w:t>
      </w:r>
      <w:r w:rsidR="0016304F">
        <w:rPr>
          <w:noProof/>
        </w:rPr>
        <w:fldChar w:fldCharType="end"/>
      </w:r>
      <w:r>
        <w:t>: Employment rate data, by age group</w:t>
      </w:r>
    </w:p>
    <w:p w14:paraId="191D4676" w14:textId="77777777" w:rsidR="00404D1C" w:rsidRDefault="00404D1C" w:rsidP="0016304F">
      <w:pPr>
        <w:spacing w:after="0"/>
        <w:rPr>
          <w:sz w:val="20"/>
          <w:szCs w:val="20"/>
        </w:rPr>
      </w:pPr>
      <w:r>
        <w:rPr>
          <w:noProof/>
          <w:lang w:eastAsia="en-GB"/>
        </w:rPr>
        <w:drawing>
          <wp:inline distT="0" distB="0" distL="0" distR="0" wp14:anchorId="7C55C8EF" wp14:editId="020A8146">
            <wp:extent cx="5581934" cy="2565780"/>
            <wp:effectExtent l="0" t="0" r="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24E194"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 – version of October 2017</w:t>
      </w:r>
    </w:p>
    <w:p w14:paraId="08EEB3E6" w14:textId="77777777" w:rsidR="00404D1C" w:rsidRDefault="00404D1C" w:rsidP="0016304F">
      <w:pPr>
        <w:pStyle w:val="Caption"/>
        <w:keepNext/>
      </w:pPr>
      <w:r>
        <w:lastRenderedPageBreak/>
        <w:t xml:space="preserve">Table </w:t>
      </w:r>
      <w:r w:rsidR="0016304F">
        <w:fldChar w:fldCharType="begin"/>
      </w:r>
      <w:r w:rsidR="0016304F">
        <w:instrText xml:space="preserve"> SEQ Table </w:instrText>
      </w:r>
      <w:r w:rsidR="0016304F">
        <w:instrText xml:space="preserve">\* ARABIC </w:instrText>
      </w:r>
      <w:r w:rsidR="0016304F">
        <w:fldChar w:fldCharType="separate"/>
      </w:r>
      <w:r>
        <w:rPr>
          <w:noProof/>
        </w:rPr>
        <w:t>5</w:t>
      </w:r>
      <w:r w:rsidR="0016304F">
        <w:rPr>
          <w:noProof/>
        </w:rPr>
        <w:fldChar w:fldCharType="end"/>
      </w:r>
      <w:r>
        <w:t>: Trends in employment by gender and disability (aged 20-64)</w:t>
      </w:r>
    </w:p>
    <w:p w14:paraId="48783CD2" w14:textId="77777777" w:rsidR="00404D1C" w:rsidRDefault="00404D1C" w:rsidP="0016304F">
      <w:pPr>
        <w:spacing w:after="0"/>
      </w:pPr>
      <w:r>
        <w:rPr>
          <w:noProof/>
          <w:lang w:eastAsia="en-GB"/>
        </w:rPr>
        <w:drawing>
          <wp:inline distT="0" distB="0" distL="0" distR="0" wp14:anchorId="680E0510" wp14:editId="7CE51E36">
            <wp:extent cx="5486400" cy="46386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C21BF4"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r w:rsidRPr="00E024C9">
        <w:rPr>
          <w:lang w:eastAsia="en-GB"/>
        </w:rPr>
        <w:t xml:space="preserve"> (and preceding UDBs)</w:t>
      </w:r>
    </w:p>
    <w:p w14:paraId="5450DAEC" w14:textId="37909B84" w:rsidR="00DF1931" w:rsidRPr="00DF1931" w:rsidRDefault="00404D1C" w:rsidP="0016304F">
      <w:pPr>
        <w:spacing w:after="0"/>
      </w:pPr>
      <w:r>
        <w:t>The table above shows a comparison of national employment trends for disabled and non-disabled women and men, and compares this with the EU2020 headline indicator for the EU as a whole</w:t>
      </w:r>
      <w:r w:rsidR="00DF1931" w:rsidRPr="00DF1931">
        <w:t>.</w:t>
      </w:r>
    </w:p>
    <w:p w14:paraId="6CC3E696" w14:textId="77777777" w:rsidR="0077606A" w:rsidRPr="0077606A" w:rsidRDefault="0077606A" w:rsidP="0016304F">
      <w:pPr>
        <w:pStyle w:val="BodyText"/>
        <w:spacing w:after="0"/>
      </w:pPr>
    </w:p>
    <w:p w14:paraId="327209E5" w14:textId="77777777" w:rsidR="0066278F" w:rsidRDefault="0066278F" w:rsidP="0016304F">
      <w:pPr>
        <w:pStyle w:val="Un-numberedsubheading"/>
        <w:spacing w:after="0"/>
      </w:pPr>
      <w:r w:rsidRPr="0077606A">
        <w:t xml:space="preserve">Alternative data on disability and employment </w:t>
      </w:r>
      <w:r w:rsidR="00803568" w:rsidRPr="0077606A">
        <w:t>provided by the national expert</w:t>
      </w:r>
      <w:r w:rsidRPr="0077606A">
        <w:t>:</w:t>
      </w:r>
    </w:p>
    <w:p w14:paraId="5BF26457" w14:textId="77777777" w:rsidR="0077606A" w:rsidRPr="0077606A" w:rsidRDefault="0077606A" w:rsidP="0016304F">
      <w:pPr>
        <w:pStyle w:val="Un-numberedsubheading"/>
        <w:spacing w:after="0"/>
      </w:pPr>
    </w:p>
    <w:p w14:paraId="7D0048C0" w14:textId="719CC05B" w:rsidR="002F2C31" w:rsidRDefault="00A1631D" w:rsidP="0016304F">
      <w:pPr>
        <w:spacing w:after="0"/>
      </w:pPr>
      <w:r w:rsidRPr="0077606A">
        <w:t xml:space="preserve">In addition to the FRS/SILC </w:t>
      </w:r>
      <w:r w:rsidR="00A506E4" w:rsidRPr="0077606A">
        <w:t>survey</w:t>
      </w:r>
      <w:r w:rsidRPr="0077606A">
        <w:t>, relevant</w:t>
      </w:r>
      <w:r w:rsidR="002F2C31" w:rsidRPr="0077606A">
        <w:t xml:space="preserve"> data </w:t>
      </w:r>
      <w:r w:rsidRPr="0077606A">
        <w:t xml:space="preserve">on employment </w:t>
      </w:r>
      <w:r w:rsidR="002F2C31" w:rsidRPr="0077606A">
        <w:t xml:space="preserve">is available from the quarterly national Labour Force Survey (LFS). </w:t>
      </w:r>
      <w:r w:rsidR="00A86439" w:rsidRPr="0077606A">
        <w:t>These data are for Great Britain.</w:t>
      </w:r>
      <w:r w:rsidR="00803B83">
        <w:rPr>
          <w:rStyle w:val="FootnoteReference"/>
        </w:rPr>
        <w:footnoteReference w:id="15"/>
      </w:r>
      <w:r w:rsidR="00A86439" w:rsidRPr="0077606A">
        <w:t xml:space="preserve"> The</w:t>
      </w:r>
      <w:r w:rsidR="002F2C31" w:rsidRPr="0077606A">
        <w:t xml:space="preserve"> questionnaire prompt for the disability section was altered in 2010 and the wording of the question was changed in 2013. This affects the comparability of </w:t>
      </w:r>
      <w:r w:rsidR="00063E99" w:rsidRPr="0077606A">
        <w:t xml:space="preserve">historical </w:t>
      </w:r>
      <w:r w:rsidR="002F2C31" w:rsidRPr="0077606A">
        <w:t>data.</w:t>
      </w:r>
      <w:r w:rsidR="002F2C31" w:rsidRPr="0077606A">
        <w:rPr>
          <w:vertAlign w:val="superscript"/>
        </w:rPr>
        <w:footnoteReference w:id="16"/>
      </w:r>
      <w:r w:rsidR="002F2C31" w:rsidRPr="0077606A">
        <w:t xml:space="preserve"> The 2010 change raised national prevalenc</w:t>
      </w:r>
      <w:r w:rsidR="00A86439" w:rsidRPr="0077606A">
        <w:t xml:space="preserve">e estimates for disabled people, resulting in an </w:t>
      </w:r>
      <w:r w:rsidR="002F2C31" w:rsidRPr="0077606A">
        <w:t>8 per cent in</w:t>
      </w:r>
      <w:r w:rsidR="00A86439" w:rsidRPr="0077606A">
        <w:t>crease</w:t>
      </w:r>
      <w:r w:rsidR="002F2C31" w:rsidRPr="0077606A">
        <w:t xml:space="preserve"> </w:t>
      </w:r>
      <w:r w:rsidR="00A86439" w:rsidRPr="0077606A">
        <w:t xml:space="preserve">in </w:t>
      </w:r>
      <w:r w:rsidR="0009424A" w:rsidRPr="0077606A">
        <w:t xml:space="preserve">their </w:t>
      </w:r>
      <w:r w:rsidR="002F2C31" w:rsidRPr="0077606A">
        <w:t>reported economic activity</w:t>
      </w:r>
      <w:r w:rsidR="00BA0543" w:rsidRPr="0077606A">
        <w:t xml:space="preserve">. </w:t>
      </w:r>
      <w:r w:rsidR="005D3379" w:rsidRPr="0077606A">
        <w:t xml:space="preserve">The </w:t>
      </w:r>
      <w:r w:rsidR="00063E99" w:rsidRPr="0077606A">
        <w:t xml:space="preserve">2013 </w:t>
      </w:r>
      <w:r w:rsidR="005D3379" w:rsidRPr="0077606A">
        <w:t>change</w:t>
      </w:r>
      <w:r w:rsidR="002F2C31" w:rsidRPr="0077606A">
        <w:t xml:space="preserve"> </w:t>
      </w:r>
      <w:r w:rsidR="005D3379" w:rsidRPr="0077606A">
        <w:t xml:space="preserve">was </w:t>
      </w:r>
      <w:r w:rsidR="00BA0543" w:rsidRPr="0077606A">
        <w:t>designed</w:t>
      </w:r>
      <w:r w:rsidR="005D3379" w:rsidRPr="0077606A">
        <w:t xml:space="preserve"> to </w:t>
      </w:r>
      <w:r w:rsidR="002F2C31" w:rsidRPr="0077606A">
        <w:t>provide more accurate estimates</w:t>
      </w:r>
      <w:r w:rsidR="005D3379" w:rsidRPr="0077606A">
        <w:t xml:space="preserve"> </w:t>
      </w:r>
      <w:r w:rsidR="00A86439" w:rsidRPr="0077606A">
        <w:t>in line with the Equality Act definition of disability</w:t>
      </w:r>
      <w:r w:rsidR="00063E99" w:rsidRPr="0077606A">
        <w:t xml:space="preserve">, and is also in line with the SILC questionnaire – referring to people with a ‘(current) physical or mental health condition(s) or illnesses lasting or expected to last 12 months or more; and the condition(s) or illness(es) </w:t>
      </w:r>
      <w:r w:rsidR="00063E99" w:rsidRPr="0077606A">
        <w:lastRenderedPageBreak/>
        <w:t>reduce their ability to carry out day-to-day activities’</w:t>
      </w:r>
      <w:r w:rsidR="00A86439" w:rsidRPr="0077606A">
        <w:t xml:space="preserve">. </w:t>
      </w:r>
      <w:r w:rsidR="00063E99" w:rsidRPr="0077606A">
        <w:t>Th</w:t>
      </w:r>
      <w:r w:rsidR="0009424A" w:rsidRPr="0077606A">
        <w:t>e</w:t>
      </w:r>
      <w:r w:rsidR="00063E99" w:rsidRPr="0077606A">
        <w:t xml:space="preserve"> new LFS </w:t>
      </w:r>
      <w:r w:rsidR="0009424A" w:rsidRPr="0077606A">
        <w:t>methodology</w:t>
      </w:r>
      <w:r w:rsidR="00063E99" w:rsidRPr="0077606A">
        <w:t xml:space="preserve"> indicates </w:t>
      </w:r>
      <w:r w:rsidR="005D3379" w:rsidRPr="0077606A">
        <w:t>larger equality gap</w:t>
      </w:r>
      <w:r w:rsidR="00063E99" w:rsidRPr="0077606A">
        <w:t>s</w:t>
      </w:r>
      <w:r w:rsidR="00A86439" w:rsidRPr="0077606A">
        <w:t xml:space="preserve"> than previously reported</w:t>
      </w:r>
      <w:r w:rsidR="002F2C31" w:rsidRPr="0077606A">
        <w:t>.</w:t>
      </w:r>
    </w:p>
    <w:p w14:paraId="0EF3E437" w14:textId="77777777" w:rsidR="0077606A" w:rsidRPr="0077606A" w:rsidRDefault="0077606A" w:rsidP="0016304F">
      <w:pPr>
        <w:spacing w:after="0"/>
      </w:pPr>
    </w:p>
    <w:p w14:paraId="0023B7B9" w14:textId="258C5121" w:rsidR="005805CA" w:rsidRDefault="00803B83" w:rsidP="0016304F">
      <w:pPr>
        <w:spacing w:after="0"/>
      </w:pPr>
      <w:r>
        <w:t xml:space="preserve">The last update to the national disability strategy </w:t>
      </w:r>
      <w:r w:rsidRPr="00286B5C">
        <w:rPr>
          <w:i/>
        </w:rPr>
        <w:t>Fulfilling Potential</w:t>
      </w:r>
      <w:r>
        <w:t xml:space="preserve"> was in 2014</w:t>
      </w:r>
      <w:r w:rsidR="00B8265A" w:rsidRPr="0077606A">
        <w:t xml:space="preserve">. </w:t>
      </w:r>
      <w:r>
        <w:t>This showed that the</w:t>
      </w:r>
      <w:r w:rsidRPr="0077606A">
        <w:t xml:space="preserve"> </w:t>
      </w:r>
      <w:r>
        <w:t>revised LFS</w:t>
      </w:r>
      <w:r w:rsidRPr="0077606A">
        <w:t xml:space="preserve"> </w:t>
      </w:r>
      <w:r w:rsidR="00B8265A" w:rsidRPr="0077606A">
        <w:t xml:space="preserve">methodology </w:t>
      </w:r>
      <w:r w:rsidR="0009424A" w:rsidRPr="0077606A">
        <w:t>produce</w:t>
      </w:r>
      <w:r>
        <w:t>d</w:t>
      </w:r>
      <w:r w:rsidR="0009424A" w:rsidRPr="0077606A">
        <w:t xml:space="preserve"> </w:t>
      </w:r>
      <w:r>
        <w:t>closely comparable</w:t>
      </w:r>
      <w:r w:rsidRPr="0077606A">
        <w:t xml:space="preserve"> </w:t>
      </w:r>
      <w:r w:rsidR="0009424A" w:rsidRPr="0077606A">
        <w:t>estimates</w:t>
      </w:r>
      <w:r w:rsidR="00B8265A" w:rsidRPr="0077606A">
        <w:t xml:space="preserve"> with the </w:t>
      </w:r>
      <w:r w:rsidR="0009424A" w:rsidRPr="0077606A">
        <w:t>FRS</w:t>
      </w:r>
      <w:r w:rsidR="006A36E8">
        <w:t>/</w:t>
      </w:r>
      <w:r w:rsidR="00B8265A" w:rsidRPr="0077606A">
        <w:t xml:space="preserve">SILC estimates </w:t>
      </w:r>
      <w:r>
        <w:t>for the same year</w:t>
      </w:r>
      <w:r w:rsidR="00B8265A" w:rsidRPr="0077606A">
        <w:t>.</w:t>
      </w:r>
      <w:r w:rsidR="001A1474" w:rsidRPr="0077606A">
        <w:rPr>
          <w:rStyle w:val="FootnoteReference"/>
        </w:rPr>
        <w:footnoteReference w:id="17"/>
      </w:r>
      <w:r w:rsidR="005805CA">
        <w:t xml:space="preserve"> </w:t>
      </w:r>
      <w:r w:rsidR="00A86439" w:rsidRPr="0077606A">
        <w:t xml:space="preserve">The Framework </w:t>
      </w:r>
      <w:r w:rsidR="00BA0543" w:rsidRPr="0077606A">
        <w:t>include</w:t>
      </w:r>
      <w:r w:rsidR="005805CA">
        <w:t>d</w:t>
      </w:r>
      <w:r w:rsidR="00BA0543" w:rsidRPr="0077606A">
        <w:t xml:space="preserve"> </w:t>
      </w:r>
      <w:r w:rsidR="00286B5C">
        <w:t xml:space="preserve">a number </w:t>
      </w:r>
      <w:r w:rsidR="006A36E8">
        <w:t>of</w:t>
      </w:r>
      <w:r w:rsidR="005805CA">
        <w:t xml:space="preserve"> subsidiary employment indicators,</w:t>
      </w:r>
      <w:r w:rsidR="00BA0543" w:rsidRPr="0077606A">
        <w:rPr>
          <w:rStyle w:val="FootnoteReference"/>
        </w:rPr>
        <w:footnoteReference w:id="18"/>
      </w:r>
      <w:r w:rsidR="005805CA">
        <w:t xml:space="preserve"> explained in our </w:t>
      </w:r>
      <w:r w:rsidR="00F243A5">
        <w:t xml:space="preserve">2015 </w:t>
      </w:r>
      <w:r w:rsidR="005805CA">
        <w:t xml:space="preserve">report </w:t>
      </w:r>
      <w:r w:rsidR="006A36E8">
        <w:t xml:space="preserve">but </w:t>
      </w:r>
      <w:r w:rsidR="005805CA">
        <w:t>not since updated.</w:t>
      </w:r>
    </w:p>
    <w:p w14:paraId="79ED4E4D" w14:textId="77777777" w:rsidR="0077606A" w:rsidRPr="0077606A" w:rsidRDefault="0077606A" w:rsidP="0016304F">
      <w:pPr>
        <w:spacing w:after="0"/>
      </w:pPr>
    </w:p>
    <w:p w14:paraId="1FE1C700" w14:textId="03D31CBC" w:rsidR="002F2C31" w:rsidRDefault="00F726FE" w:rsidP="0016304F">
      <w:pPr>
        <w:spacing w:after="0"/>
      </w:pPr>
      <w:r w:rsidRPr="0077606A">
        <w:t>The</w:t>
      </w:r>
      <w:r w:rsidR="002F2C31" w:rsidRPr="0077606A">
        <w:t xml:space="preserve"> </w:t>
      </w:r>
      <w:r w:rsidR="006A36E8">
        <w:t xml:space="preserve">most up to date source is the </w:t>
      </w:r>
      <w:r w:rsidR="002F2C31" w:rsidRPr="0077606A">
        <w:t>Office for National Statistics</w:t>
      </w:r>
      <w:r w:rsidR="00E3142F" w:rsidRPr="0077606A">
        <w:t xml:space="preserve"> (ONS)</w:t>
      </w:r>
      <w:r w:rsidR="002F2C31" w:rsidRPr="0077606A">
        <w:t xml:space="preserve"> </w:t>
      </w:r>
      <w:r w:rsidR="00072D84">
        <w:t xml:space="preserve">quarterly </w:t>
      </w:r>
      <w:r w:rsidR="006A36E8">
        <w:t>release</w:t>
      </w:r>
      <w:r w:rsidR="00072D84">
        <w:t xml:space="preserve"> of</w:t>
      </w:r>
      <w:r w:rsidRPr="0077606A">
        <w:t xml:space="preserve"> </w:t>
      </w:r>
      <w:r w:rsidRPr="0077606A">
        <w:rPr>
          <w:i/>
        </w:rPr>
        <w:t>Labour market status of disabled people</w:t>
      </w:r>
      <w:r w:rsidR="006A36E8">
        <w:t xml:space="preserve">, published </w:t>
      </w:r>
      <w:r w:rsidR="006A36E8" w:rsidRPr="0077606A">
        <w:t xml:space="preserve">as part of </w:t>
      </w:r>
      <w:r w:rsidR="00072D84">
        <w:t>the general</w:t>
      </w:r>
      <w:r w:rsidR="006A36E8" w:rsidRPr="0077606A">
        <w:t xml:space="preserve"> </w:t>
      </w:r>
      <w:r w:rsidR="006A36E8" w:rsidRPr="0077606A">
        <w:rPr>
          <w:i/>
        </w:rPr>
        <w:t>UK Labour Market</w:t>
      </w:r>
      <w:r w:rsidR="006A36E8" w:rsidRPr="0077606A">
        <w:t xml:space="preserve"> release (Table A08)</w:t>
      </w:r>
      <w:r w:rsidRPr="0077606A">
        <w:t xml:space="preserve">, </w:t>
      </w:r>
      <w:r w:rsidR="00BE2EB9" w:rsidRPr="0077606A">
        <w:t>using</w:t>
      </w:r>
      <w:r w:rsidRPr="0077606A">
        <w:t xml:space="preserve"> quarterly LFS data</w:t>
      </w:r>
      <w:r w:rsidR="002F2C31" w:rsidRPr="0077606A">
        <w:t>.</w:t>
      </w:r>
      <w:r w:rsidRPr="0077606A">
        <w:t xml:space="preserve"> </w:t>
      </w:r>
      <w:r w:rsidR="00AC2E3A" w:rsidRPr="0077606A">
        <w:t>This covers the age range 16-64 rather than 20-64</w:t>
      </w:r>
      <w:r w:rsidR="00F243A5">
        <w:t xml:space="preserve"> and</w:t>
      </w:r>
      <w:r w:rsidR="00AC2E3A" w:rsidRPr="0077606A">
        <w:t xml:space="preserve"> the </w:t>
      </w:r>
      <w:r w:rsidR="00D9404F" w:rsidRPr="0077606A">
        <w:t xml:space="preserve">tables are disaggregated by gender. </w:t>
      </w:r>
      <w:r w:rsidRPr="0077606A">
        <w:t xml:space="preserve">The most recent release </w:t>
      </w:r>
      <w:r w:rsidR="00072D84">
        <w:t>includes</w:t>
      </w:r>
      <w:r w:rsidR="00D9404F" w:rsidRPr="0077606A">
        <w:t xml:space="preserve"> </w:t>
      </w:r>
      <w:r w:rsidR="00AC2E3A" w:rsidRPr="0077606A">
        <w:t>201</w:t>
      </w:r>
      <w:r w:rsidR="00F243A5">
        <w:t>7</w:t>
      </w:r>
      <w:r w:rsidR="00AC2E3A" w:rsidRPr="0077606A">
        <w:t xml:space="preserve"> </w:t>
      </w:r>
      <w:r w:rsidR="00D9404F" w:rsidRPr="0077606A">
        <w:t>Quarter 2 estimates</w:t>
      </w:r>
      <w:r w:rsidR="00072D84">
        <w:t xml:space="preserve"> and provides </w:t>
      </w:r>
      <w:r w:rsidR="00F243A5">
        <w:t xml:space="preserve">five </w:t>
      </w:r>
      <w:r w:rsidR="00072D84">
        <w:t>year comparable trends since the disability definition was harmonised</w:t>
      </w:r>
      <w:r w:rsidRPr="0077606A">
        <w:t>.</w:t>
      </w:r>
      <w:r w:rsidR="002F2C31" w:rsidRPr="0077606A">
        <w:rPr>
          <w:vertAlign w:val="superscript"/>
        </w:rPr>
        <w:footnoteReference w:id="19"/>
      </w:r>
      <w:r w:rsidRPr="0077606A">
        <w:t xml:space="preserve"> </w:t>
      </w:r>
    </w:p>
    <w:p w14:paraId="38ABC225" w14:textId="77777777" w:rsidR="003813CF" w:rsidRPr="0077606A" w:rsidRDefault="003813CF" w:rsidP="0016304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06"/>
        <w:gridCol w:w="2006"/>
        <w:gridCol w:w="2007"/>
        <w:gridCol w:w="1218"/>
      </w:tblGrid>
      <w:tr w:rsidR="0024672E" w:rsidRPr="0077606A" w14:paraId="06D9ADD1" w14:textId="77777777" w:rsidTr="00A1631D">
        <w:tc>
          <w:tcPr>
            <w:tcW w:w="5000" w:type="pct"/>
            <w:gridSpan w:val="5"/>
            <w:shd w:val="clear" w:color="auto" w:fill="auto"/>
          </w:tcPr>
          <w:p w14:paraId="339C1B8D" w14:textId="77777777" w:rsidR="0024672E" w:rsidRPr="0077606A" w:rsidRDefault="0024672E" w:rsidP="0016304F">
            <w:pPr>
              <w:keepNext/>
              <w:spacing w:after="0"/>
              <w:rPr>
                <w:b/>
                <w:bCs/>
              </w:rPr>
            </w:pPr>
            <w:r w:rsidRPr="0077606A">
              <w:rPr>
                <w:b/>
                <w:bCs/>
              </w:rPr>
              <w:t>Reported employment rates of disabled men and women aged 16-64</w:t>
            </w:r>
          </w:p>
        </w:tc>
      </w:tr>
      <w:tr w:rsidR="0024672E" w:rsidRPr="0077606A" w14:paraId="4405C994" w14:textId="77777777" w:rsidTr="0024672E">
        <w:tc>
          <w:tcPr>
            <w:tcW w:w="1085" w:type="pct"/>
            <w:shd w:val="clear" w:color="auto" w:fill="auto"/>
          </w:tcPr>
          <w:p w14:paraId="67EDEA3D" w14:textId="77777777" w:rsidR="0024672E" w:rsidRPr="0077606A" w:rsidRDefault="0024672E" w:rsidP="0016304F">
            <w:pPr>
              <w:keepNext/>
              <w:spacing w:after="0"/>
              <w:rPr>
                <w:b/>
                <w:bCs/>
              </w:rPr>
            </w:pPr>
          </w:p>
        </w:tc>
        <w:tc>
          <w:tcPr>
            <w:tcW w:w="1085" w:type="pct"/>
          </w:tcPr>
          <w:p w14:paraId="2D4012A8" w14:textId="77777777" w:rsidR="0024672E" w:rsidRPr="0077606A" w:rsidRDefault="0024672E" w:rsidP="0016304F">
            <w:pPr>
              <w:keepNext/>
              <w:spacing w:after="0"/>
              <w:rPr>
                <w:b/>
                <w:bCs/>
              </w:rPr>
            </w:pPr>
            <w:r w:rsidRPr="0077606A">
              <w:rPr>
                <w:b/>
                <w:bCs/>
              </w:rPr>
              <w:t>Non-disabled Men and Women</w:t>
            </w:r>
          </w:p>
        </w:tc>
        <w:tc>
          <w:tcPr>
            <w:tcW w:w="1085" w:type="pct"/>
            <w:shd w:val="clear" w:color="auto" w:fill="auto"/>
          </w:tcPr>
          <w:p w14:paraId="0E189179" w14:textId="77777777" w:rsidR="0024672E" w:rsidRPr="0077606A" w:rsidRDefault="0024672E" w:rsidP="0016304F">
            <w:pPr>
              <w:keepNext/>
              <w:spacing w:after="0"/>
            </w:pPr>
            <w:r w:rsidRPr="0077606A">
              <w:rPr>
                <w:b/>
                <w:bCs/>
              </w:rPr>
              <w:t>Disabled Men and Women</w:t>
            </w:r>
          </w:p>
        </w:tc>
        <w:tc>
          <w:tcPr>
            <w:tcW w:w="1086" w:type="pct"/>
            <w:shd w:val="clear" w:color="auto" w:fill="auto"/>
          </w:tcPr>
          <w:p w14:paraId="5F918BA6" w14:textId="77777777" w:rsidR="0024672E" w:rsidRPr="0077606A" w:rsidRDefault="0024672E" w:rsidP="0016304F">
            <w:pPr>
              <w:keepNext/>
              <w:spacing w:after="0"/>
              <w:rPr>
                <w:b/>
                <w:bCs/>
              </w:rPr>
            </w:pPr>
            <w:r w:rsidRPr="0077606A">
              <w:rPr>
                <w:b/>
                <w:bCs/>
              </w:rPr>
              <w:t>Disabled men</w:t>
            </w:r>
          </w:p>
        </w:tc>
        <w:tc>
          <w:tcPr>
            <w:tcW w:w="659" w:type="pct"/>
            <w:shd w:val="clear" w:color="auto" w:fill="auto"/>
          </w:tcPr>
          <w:p w14:paraId="6DA73E16" w14:textId="77777777" w:rsidR="0024672E" w:rsidRPr="0077606A" w:rsidRDefault="0024672E" w:rsidP="0016304F">
            <w:pPr>
              <w:keepNext/>
              <w:spacing w:after="0"/>
              <w:rPr>
                <w:b/>
                <w:bCs/>
              </w:rPr>
            </w:pPr>
            <w:r w:rsidRPr="0077606A">
              <w:rPr>
                <w:b/>
                <w:bCs/>
              </w:rPr>
              <w:t>Disabled women</w:t>
            </w:r>
          </w:p>
        </w:tc>
      </w:tr>
      <w:tr w:rsidR="0024672E" w:rsidRPr="0077606A" w14:paraId="4CD4DD5E" w14:textId="77777777" w:rsidTr="0024672E">
        <w:tc>
          <w:tcPr>
            <w:tcW w:w="1085" w:type="pct"/>
            <w:shd w:val="clear" w:color="auto" w:fill="auto"/>
          </w:tcPr>
          <w:p w14:paraId="2D1308B6" w14:textId="77777777" w:rsidR="0024672E" w:rsidRPr="0077606A" w:rsidRDefault="0024672E" w:rsidP="0016304F">
            <w:pPr>
              <w:keepNext/>
              <w:spacing w:after="0"/>
              <w:rPr>
                <w:b/>
                <w:bCs/>
              </w:rPr>
            </w:pPr>
            <w:r w:rsidRPr="0077606A">
              <w:rPr>
                <w:b/>
                <w:bCs/>
              </w:rPr>
              <w:t>Apr-Jun 2013</w:t>
            </w:r>
          </w:p>
        </w:tc>
        <w:tc>
          <w:tcPr>
            <w:tcW w:w="1085" w:type="pct"/>
          </w:tcPr>
          <w:p w14:paraId="4E41EEB4" w14:textId="77777777" w:rsidR="0024672E" w:rsidRPr="0077606A" w:rsidRDefault="0024672E" w:rsidP="0016304F">
            <w:pPr>
              <w:keepNext/>
              <w:spacing w:after="0"/>
              <w:jc w:val="right"/>
            </w:pPr>
            <w:r w:rsidRPr="0077606A">
              <w:t>77.1%</w:t>
            </w:r>
          </w:p>
        </w:tc>
        <w:tc>
          <w:tcPr>
            <w:tcW w:w="1085" w:type="pct"/>
            <w:shd w:val="clear" w:color="auto" w:fill="auto"/>
          </w:tcPr>
          <w:p w14:paraId="526F5F42" w14:textId="77777777" w:rsidR="0024672E" w:rsidRPr="0077606A" w:rsidRDefault="0024672E" w:rsidP="0016304F">
            <w:pPr>
              <w:keepNext/>
              <w:spacing w:after="0"/>
              <w:jc w:val="right"/>
            </w:pPr>
            <w:r w:rsidRPr="0077606A">
              <w:t>43.6%</w:t>
            </w:r>
          </w:p>
        </w:tc>
        <w:tc>
          <w:tcPr>
            <w:tcW w:w="1086" w:type="pct"/>
            <w:shd w:val="clear" w:color="auto" w:fill="auto"/>
          </w:tcPr>
          <w:p w14:paraId="15A64816" w14:textId="77777777" w:rsidR="0024672E" w:rsidRPr="0077606A" w:rsidRDefault="0024672E" w:rsidP="0016304F">
            <w:pPr>
              <w:keepNext/>
              <w:spacing w:after="0"/>
              <w:jc w:val="right"/>
            </w:pPr>
            <w:r w:rsidRPr="0077606A">
              <w:t>45.8%</w:t>
            </w:r>
          </w:p>
        </w:tc>
        <w:tc>
          <w:tcPr>
            <w:tcW w:w="659" w:type="pct"/>
            <w:shd w:val="clear" w:color="auto" w:fill="auto"/>
          </w:tcPr>
          <w:p w14:paraId="2728370E" w14:textId="77777777" w:rsidR="0024672E" w:rsidRPr="0077606A" w:rsidRDefault="0024672E" w:rsidP="0016304F">
            <w:pPr>
              <w:keepNext/>
              <w:spacing w:after="0"/>
              <w:jc w:val="right"/>
            </w:pPr>
            <w:r w:rsidRPr="0077606A">
              <w:t>41.9%</w:t>
            </w:r>
          </w:p>
        </w:tc>
      </w:tr>
      <w:tr w:rsidR="0024672E" w:rsidRPr="0077606A" w14:paraId="6525F241" w14:textId="77777777" w:rsidTr="0024672E">
        <w:tc>
          <w:tcPr>
            <w:tcW w:w="1085" w:type="pct"/>
            <w:shd w:val="clear" w:color="auto" w:fill="auto"/>
          </w:tcPr>
          <w:p w14:paraId="1D3D2B5A" w14:textId="77777777" w:rsidR="0024672E" w:rsidRPr="0077606A" w:rsidRDefault="0024672E" w:rsidP="0016304F">
            <w:pPr>
              <w:keepNext/>
              <w:spacing w:after="0"/>
              <w:rPr>
                <w:b/>
                <w:bCs/>
              </w:rPr>
            </w:pPr>
            <w:r w:rsidRPr="0077606A">
              <w:rPr>
                <w:b/>
                <w:bCs/>
              </w:rPr>
              <w:t>Apr-Jun 2014</w:t>
            </w:r>
          </w:p>
        </w:tc>
        <w:tc>
          <w:tcPr>
            <w:tcW w:w="1085" w:type="pct"/>
          </w:tcPr>
          <w:p w14:paraId="4EB4EB1E" w14:textId="77777777" w:rsidR="0024672E" w:rsidRPr="0077606A" w:rsidRDefault="0024672E" w:rsidP="0016304F">
            <w:pPr>
              <w:keepNext/>
              <w:spacing w:after="0"/>
              <w:jc w:val="right"/>
            </w:pPr>
            <w:r w:rsidRPr="0077606A">
              <w:t>78.6%</w:t>
            </w:r>
          </w:p>
        </w:tc>
        <w:tc>
          <w:tcPr>
            <w:tcW w:w="1085" w:type="pct"/>
            <w:shd w:val="clear" w:color="auto" w:fill="auto"/>
          </w:tcPr>
          <w:p w14:paraId="0DACCC6C" w14:textId="77777777" w:rsidR="0024672E" w:rsidRPr="0077606A" w:rsidRDefault="0024672E" w:rsidP="0016304F">
            <w:pPr>
              <w:keepNext/>
              <w:spacing w:after="0"/>
              <w:jc w:val="right"/>
            </w:pPr>
            <w:r w:rsidRPr="0077606A">
              <w:t>44.9%</w:t>
            </w:r>
          </w:p>
        </w:tc>
        <w:tc>
          <w:tcPr>
            <w:tcW w:w="1086" w:type="pct"/>
            <w:shd w:val="clear" w:color="auto" w:fill="auto"/>
          </w:tcPr>
          <w:p w14:paraId="392AFBA4" w14:textId="1300C8C5" w:rsidR="0024672E" w:rsidRPr="0077606A" w:rsidRDefault="0024672E" w:rsidP="0016304F">
            <w:pPr>
              <w:keepNext/>
              <w:spacing w:after="0"/>
              <w:jc w:val="right"/>
            </w:pPr>
            <w:r w:rsidRPr="0077606A">
              <w:t>46.</w:t>
            </w:r>
            <w:r w:rsidR="00DB76FC">
              <w:t>7</w:t>
            </w:r>
            <w:r w:rsidRPr="0077606A">
              <w:t>%</w:t>
            </w:r>
          </w:p>
        </w:tc>
        <w:tc>
          <w:tcPr>
            <w:tcW w:w="659" w:type="pct"/>
            <w:shd w:val="clear" w:color="auto" w:fill="auto"/>
          </w:tcPr>
          <w:p w14:paraId="41048317" w14:textId="77777777" w:rsidR="0024672E" w:rsidRPr="0077606A" w:rsidRDefault="0024672E" w:rsidP="0016304F">
            <w:pPr>
              <w:keepNext/>
              <w:spacing w:after="0"/>
              <w:jc w:val="right"/>
            </w:pPr>
            <w:r w:rsidRPr="0077606A">
              <w:t>43.5%</w:t>
            </w:r>
          </w:p>
        </w:tc>
      </w:tr>
      <w:tr w:rsidR="0024672E" w:rsidRPr="0077606A" w14:paraId="5FFC5794" w14:textId="77777777" w:rsidTr="0024672E">
        <w:tc>
          <w:tcPr>
            <w:tcW w:w="1085" w:type="pct"/>
            <w:shd w:val="clear" w:color="auto" w:fill="auto"/>
          </w:tcPr>
          <w:p w14:paraId="7BCB8CD7" w14:textId="77777777" w:rsidR="0024672E" w:rsidRPr="0077606A" w:rsidRDefault="0024672E" w:rsidP="0016304F">
            <w:pPr>
              <w:keepNext/>
              <w:spacing w:after="0"/>
              <w:rPr>
                <w:b/>
                <w:bCs/>
              </w:rPr>
            </w:pPr>
            <w:r w:rsidRPr="0077606A">
              <w:rPr>
                <w:b/>
                <w:bCs/>
              </w:rPr>
              <w:t>Apr-Jun 2015</w:t>
            </w:r>
          </w:p>
        </w:tc>
        <w:tc>
          <w:tcPr>
            <w:tcW w:w="1085" w:type="pct"/>
          </w:tcPr>
          <w:p w14:paraId="4AE6FD28" w14:textId="77777777" w:rsidR="0024672E" w:rsidRPr="0077606A" w:rsidRDefault="0024672E" w:rsidP="0016304F">
            <w:pPr>
              <w:keepNext/>
              <w:spacing w:after="0"/>
              <w:jc w:val="right"/>
            </w:pPr>
            <w:r w:rsidRPr="0077606A">
              <w:t>79.4%</w:t>
            </w:r>
          </w:p>
        </w:tc>
        <w:tc>
          <w:tcPr>
            <w:tcW w:w="1085" w:type="pct"/>
            <w:shd w:val="clear" w:color="auto" w:fill="auto"/>
          </w:tcPr>
          <w:p w14:paraId="1A8AB47C" w14:textId="77777777" w:rsidR="0024672E" w:rsidRPr="0077606A" w:rsidRDefault="0024672E" w:rsidP="0016304F">
            <w:pPr>
              <w:keepNext/>
              <w:spacing w:after="0"/>
              <w:jc w:val="right"/>
            </w:pPr>
            <w:r w:rsidRPr="0077606A">
              <w:t>45.9%</w:t>
            </w:r>
          </w:p>
        </w:tc>
        <w:tc>
          <w:tcPr>
            <w:tcW w:w="1086" w:type="pct"/>
            <w:shd w:val="clear" w:color="auto" w:fill="auto"/>
          </w:tcPr>
          <w:p w14:paraId="563AC16D" w14:textId="77777777" w:rsidR="0024672E" w:rsidRPr="0077606A" w:rsidRDefault="0024672E" w:rsidP="0016304F">
            <w:pPr>
              <w:keepNext/>
              <w:spacing w:after="0"/>
              <w:jc w:val="right"/>
            </w:pPr>
            <w:r w:rsidRPr="0077606A">
              <w:t>48.3%</w:t>
            </w:r>
          </w:p>
        </w:tc>
        <w:tc>
          <w:tcPr>
            <w:tcW w:w="659" w:type="pct"/>
            <w:shd w:val="clear" w:color="auto" w:fill="auto"/>
          </w:tcPr>
          <w:p w14:paraId="271B5E45" w14:textId="77777777" w:rsidR="0024672E" w:rsidRPr="0077606A" w:rsidRDefault="0024672E" w:rsidP="0016304F">
            <w:pPr>
              <w:keepNext/>
              <w:spacing w:after="0"/>
              <w:jc w:val="right"/>
            </w:pPr>
            <w:r w:rsidRPr="0077606A">
              <w:t>44.0%</w:t>
            </w:r>
          </w:p>
        </w:tc>
      </w:tr>
      <w:tr w:rsidR="005F289E" w:rsidRPr="0077606A" w14:paraId="72F52670" w14:textId="77777777" w:rsidTr="0024672E">
        <w:tc>
          <w:tcPr>
            <w:tcW w:w="1085" w:type="pct"/>
            <w:shd w:val="clear" w:color="auto" w:fill="auto"/>
          </w:tcPr>
          <w:p w14:paraId="6EB8B2C9" w14:textId="77777777" w:rsidR="005F289E" w:rsidRPr="0077606A" w:rsidRDefault="005F289E" w:rsidP="0016304F">
            <w:pPr>
              <w:keepNext/>
              <w:spacing w:after="0"/>
              <w:rPr>
                <w:b/>
                <w:bCs/>
              </w:rPr>
            </w:pPr>
            <w:r>
              <w:rPr>
                <w:b/>
                <w:bCs/>
              </w:rPr>
              <w:t>Apr-Jun 2016</w:t>
            </w:r>
          </w:p>
        </w:tc>
        <w:tc>
          <w:tcPr>
            <w:tcW w:w="1085" w:type="pct"/>
          </w:tcPr>
          <w:p w14:paraId="3EAFCA0C" w14:textId="77777777" w:rsidR="005F289E" w:rsidRPr="0077606A" w:rsidRDefault="005F289E" w:rsidP="0016304F">
            <w:pPr>
              <w:keepNext/>
              <w:spacing w:after="0"/>
              <w:jc w:val="right"/>
            </w:pPr>
            <w:r>
              <w:t>80.1%</w:t>
            </w:r>
          </w:p>
        </w:tc>
        <w:tc>
          <w:tcPr>
            <w:tcW w:w="1085" w:type="pct"/>
            <w:shd w:val="clear" w:color="auto" w:fill="auto"/>
          </w:tcPr>
          <w:p w14:paraId="78E7001A" w14:textId="77777777" w:rsidR="005F289E" w:rsidRPr="0077606A" w:rsidRDefault="005F289E" w:rsidP="0016304F">
            <w:pPr>
              <w:keepNext/>
              <w:spacing w:after="0"/>
              <w:jc w:val="right"/>
            </w:pPr>
            <w:r>
              <w:t>47.9%</w:t>
            </w:r>
          </w:p>
        </w:tc>
        <w:tc>
          <w:tcPr>
            <w:tcW w:w="1086" w:type="pct"/>
            <w:shd w:val="clear" w:color="auto" w:fill="auto"/>
          </w:tcPr>
          <w:p w14:paraId="50FBEC2A" w14:textId="77777777" w:rsidR="005F289E" w:rsidRPr="0077606A" w:rsidRDefault="006A36E8" w:rsidP="0016304F">
            <w:pPr>
              <w:keepNext/>
              <w:spacing w:after="0"/>
              <w:jc w:val="right"/>
            </w:pPr>
            <w:r>
              <w:t>49.3%</w:t>
            </w:r>
          </w:p>
        </w:tc>
        <w:tc>
          <w:tcPr>
            <w:tcW w:w="659" w:type="pct"/>
            <w:shd w:val="clear" w:color="auto" w:fill="auto"/>
          </w:tcPr>
          <w:p w14:paraId="6B9FF7DF" w14:textId="77777777" w:rsidR="005F289E" w:rsidRPr="0077606A" w:rsidRDefault="006A36E8" w:rsidP="0016304F">
            <w:pPr>
              <w:keepNext/>
              <w:spacing w:after="0"/>
              <w:jc w:val="right"/>
            </w:pPr>
            <w:r>
              <w:t>46.8%</w:t>
            </w:r>
          </w:p>
        </w:tc>
      </w:tr>
      <w:tr w:rsidR="00F243A5" w:rsidRPr="0077606A" w14:paraId="0072F353" w14:textId="77777777" w:rsidTr="0024672E">
        <w:tc>
          <w:tcPr>
            <w:tcW w:w="1085" w:type="pct"/>
            <w:shd w:val="clear" w:color="auto" w:fill="auto"/>
          </w:tcPr>
          <w:p w14:paraId="2F08D0BF" w14:textId="1980B85F" w:rsidR="00F243A5" w:rsidRDefault="00F243A5" w:rsidP="0016304F">
            <w:pPr>
              <w:keepNext/>
              <w:spacing w:after="0"/>
              <w:rPr>
                <w:b/>
                <w:bCs/>
              </w:rPr>
            </w:pPr>
            <w:r>
              <w:rPr>
                <w:b/>
                <w:bCs/>
              </w:rPr>
              <w:t>Apr-Jun 2017</w:t>
            </w:r>
          </w:p>
        </w:tc>
        <w:tc>
          <w:tcPr>
            <w:tcW w:w="1085" w:type="pct"/>
          </w:tcPr>
          <w:p w14:paraId="003D01BD" w14:textId="27F3237D" w:rsidR="00F243A5" w:rsidRDefault="007919EC" w:rsidP="0016304F">
            <w:pPr>
              <w:keepNext/>
              <w:spacing w:after="0"/>
              <w:jc w:val="right"/>
            </w:pPr>
            <w:r>
              <w:t>80.6%</w:t>
            </w:r>
          </w:p>
        </w:tc>
        <w:tc>
          <w:tcPr>
            <w:tcW w:w="1085" w:type="pct"/>
            <w:shd w:val="clear" w:color="auto" w:fill="auto"/>
          </w:tcPr>
          <w:p w14:paraId="3F7854AD" w14:textId="35A52836" w:rsidR="00F243A5" w:rsidRDefault="007919EC" w:rsidP="0016304F">
            <w:pPr>
              <w:keepNext/>
              <w:spacing w:after="0"/>
              <w:jc w:val="right"/>
            </w:pPr>
            <w:r>
              <w:t>49.2%</w:t>
            </w:r>
          </w:p>
        </w:tc>
        <w:tc>
          <w:tcPr>
            <w:tcW w:w="1086" w:type="pct"/>
            <w:shd w:val="clear" w:color="auto" w:fill="auto"/>
          </w:tcPr>
          <w:p w14:paraId="0655405A" w14:textId="1C046321" w:rsidR="00F243A5" w:rsidRDefault="007919EC" w:rsidP="0016304F">
            <w:pPr>
              <w:keepNext/>
              <w:spacing w:after="0"/>
              <w:jc w:val="right"/>
            </w:pPr>
            <w:r>
              <w:t>50.0%</w:t>
            </w:r>
          </w:p>
        </w:tc>
        <w:tc>
          <w:tcPr>
            <w:tcW w:w="659" w:type="pct"/>
            <w:shd w:val="clear" w:color="auto" w:fill="auto"/>
          </w:tcPr>
          <w:p w14:paraId="0F9273D9" w14:textId="6F5BB5B6" w:rsidR="00F243A5" w:rsidRDefault="007919EC" w:rsidP="0016304F">
            <w:pPr>
              <w:keepNext/>
              <w:spacing w:after="0"/>
              <w:jc w:val="right"/>
            </w:pPr>
            <w:r>
              <w:t>48.6%</w:t>
            </w:r>
          </w:p>
        </w:tc>
      </w:tr>
    </w:tbl>
    <w:p w14:paraId="41D07D6A" w14:textId="4BC6C751" w:rsidR="002F2C31" w:rsidRPr="003813CF" w:rsidRDefault="002F2C31" w:rsidP="0016304F">
      <w:pPr>
        <w:pStyle w:val="Sourcereference"/>
      </w:pPr>
      <w:r w:rsidRPr="003813CF">
        <w:t xml:space="preserve">Adapted from Table A08: Labour market status of disabled people, </w:t>
      </w:r>
      <w:r w:rsidR="00D9404F" w:rsidRPr="003813CF">
        <w:t>1</w:t>
      </w:r>
      <w:r w:rsidR="007919EC">
        <w:t>6</w:t>
      </w:r>
      <w:r w:rsidR="00D9404F" w:rsidRPr="003813CF">
        <w:t xml:space="preserve"> August</w:t>
      </w:r>
      <w:r w:rsidRPr="003813CF">
        <w:t xml:space="preserve"> 201</w:t>
      </w:r>
      <w:r w:rsidR="00F243A5">
        <w:t>7</w:t>
      </w:r>
      <w:r w:rsidRPr="003813CF">
        <w:t xml:space="preserve"> (Source: LFS</w:t>
      </w:r>
      <w:r w:rsidR="00A506E4" w:rsidRPr="003813CF">
        <w:t xml:space="preserve"> 2013-1</w:t>
      </w:r>
      <w:r w:rsidR="00F243A5">
        <w:t>7</w:t>
      </w:r>
      <w:r w:rsidR="00A506E4" w:rsidRPr="003813CF">
        <w:t xml:space="preserve">, </w:t>
      </w:r>
      <w:r w:rsidR="00D9404F" w:rsidRPr="003813CF">
        <w:t xml:space="preserve">using the </w:t>
      </w:r>
      <w:r w:rsidR="006A36E8" w:rsidRPr="003813CF">
        <w:t xml:space="preserve">Harmonised Standard </w:t>
      </w:r>
      <w:r w:rsidR="00D9404F" w:rsidRPr="003813CF">
        <w:t>definition</w:t>
      </w:r>
      <w:r w:rsidR="00072D84" w:rsidRPr="003813CF">
        <w:t xml:space="preserve"> of disability</w:t>
      </w:r>
      <w:r w:rsidRPr="003813CF">
        <w:t>)</w:t>
      </w:r>
    </w:p>
    <w:p w14:paraId="7668268B" w14:textId="77777777" w:rsidR="0077606A" w:rsidRPr="0077606A" w:rsidRDefault="0077606A" w:rsidP="0016304F">
      <w:pPr>
        <w:spacing w:after="0"/>
        <w:rPr>
          <w:i/>
          <w:iCs/>
        </w:rPr>
      </w:pPr>
    </w:p>
    <w:p w14:paraId="149B96F0" w14:textId="6440211B" w:rsidR="00846480" w:rsidRDefault="00AC2E3A" w:rsidP="0016304F">
      <w:pPr>
        <w:spacing w:after="0"/>
      </w:pPr>
      <w:r w:rsidRPr="00806998">
        <w:t>This</w:t>
      </w:r>
      <w:r w:rsidR="002F2C31" w:rsidRPr="00806998">
        <w:t xml:space="preserve"> indicates an employment equality gap of </w:t>
      </w:r>
      <w:r w:rsidR="007919EC" w:rsidRPr="00806998">
        <w:t>31.4</w:t>
      </w:r>
      <w:r w:rsidR="002F2C31" w:rsidRPr="00806998">
        <w:t xml:space="preserve"> percentage points </w:t>
      </w:r>
      <w:r w:rsidRPr="00806998">
        <w:t>for the age group 16-64 in 201</w:t>
      </w:r>
      <w:r w:rsidR="007919EC" w:rsidRPr="00806998">
        <w:t>7</w:t>
      </w:r>
      <w:r w:rsidRPr="00806998">
        <w:t xml:space="preserve">, </w:t>
      </w:r>
      <w:r w:rsidR="006A36E8" w:rsidRPr="00806998">
        <w:t xml:space="preserve">down from </w:t>
      </w:r>
      <w:r w:rsidR="007919EC" w:rsidRPr="00806998">
        <w:t xml:space="preserve">32.2 in 2016 </w:t>
      </w:r>
      <w:r w:rsidR="006A36E8" w:rsidRPr="00806998">
        <w:t>(</w:t>
      </w:r>
      <w:r w:rsidR="007919EC" w:rsidRPr="00806998">
        <w:t xml:space="preserve">declining from 33.3 in 2015 </w:t>
      </w:r>
      <w:r w:rsidR="00072D84" w:rsidRPr="00806998">
        <w:t>and 33.5 in 2014</w:t>
      </w:r>
      <w:r w:rsidR="007919EC" w:rsidRPr="00806998">
        <w:t xml:space="preserve">) This compares to </w:t>
      </w:r>
      <w:r w:rsidR="006A36E8" w:rsidRPr="00806998">
        <w:t>33.</w:t>
      </w:r>
      <w:r w:rsidR="00806998" w:rsidRPr="00806998">
        <w:t>2</w:t>
      </w:r>
      <w:r w:rsidR="006A36E8" w:rsidRPr="00806998">
        <w:t xml:space="preserve"> in the 201</w:t>
      </w:r>
      <w:r w:rsidR="00806998">
        <w:t>5</w:t>
      </w:r>
      <w:r w:rsidR="006A36E8" w:rsidRPr="00806998">
        <w:t xml:space="preserve"> EU SILC data</w:t>
      </w:r>
      <w:r w:rsidRPr="00806998">
        <w:t>, for those aged 20-64</w:t>
      </w:r>
      <w:r w:rsidR="002F2C31" w:rsidRPr="00806998">
        <w:t>.</w:t>
      </w:r>
      <w:r w:rsidR="00D655F9" w:rsidRPr="00806998">
        <w:t xml:space="preserve"> The </w:t>
      </w:r>
      <w:r w:rsidR="007919EC" w:rsidRPr="00806998">
        <w:t xml:space="preserve">LFS </w:t>
      </w:r>
      <w:r w:rsidR="00D655F9" w:rsidRPr="00806998">
        <w:t>comparison with FRS/EU-SILC appears to be robust.</w:t>
      </w:r>
    </w:p>
    <w:p w14:paraId="2FFA3328" w14:textId="77777777" w:rsidR="0077606A" w:rsidRPr="0077606A" w:rsidRDefault="0077606A" w:rsidP="0016304F">
      <w:pPr>
        <w:spacing w:after="0"/>
      </w:pPr>
    </w:p>
    <w:p w14:paraId="2C894153" w14:textId="252B46CC" w:rsidR="00846480" w:rsidRDefault="00F726FE" w:rsidP="0016304F">
      <w:pPr>
        <w:spacing w:after="0"/>
      </w:pPr>
      <w:r w:rsidRPr="0077606A">
        <w:t xml:space="preserve">In general, the UK Government </w:t>
      </w:r>
      <w:r w:rsidR="00DF5308">
        <w:t xml:space="preserve">continues to </w:t>
      </w:r>
      <w:r w:rsidRPr="0077606A">
        <w:t xml:space="preserve">publish </w:t>
      </w:r>
      <w:r w:rsidR="00BE2EB9" w:rsidRPr="0077606A">
        <w:t>high quality</w:t>
      </w:r>
      <w:r w:rsidR="00063E99" w:rsidRPr="0077606A">
        <w:t xml:space="preserve"> </w:t>
      </w:r>
      <w:r w:rsidRPr="0077606A">
        <w:t xml:space="preserve">official statistics </w:t>
      </w:r>
      <w:r w:rsidR="00063E99" w:rsidRPr="0077606A">
        <w:t xml:space="preserve">on </w:t>
      </w:r>
      <w:r w:rsidR="00D655F9">
        <w:t xml:space="preserve">disability and </w:t>
      </w:r>
      <w:r w:rsidR="00063E99" w:rsidRPr="0077606A">
        <w:t>employment</w:t>
      </w:r>
      <w:r w:rsidR="00BE2EB9" w:rsidRPr="0077606A">
        <w:t xml:space="preserve">, </w:t>
      </w:r>
      <w:r w:rsidRPr="0077606A">
        <w:t xml:space="preserve">which could be easily incorporated in </w:t>
      </w:r>
      <w:r w:rsidR="00DF5308">
        <w:t xml:space="preserve">its </w:t>
      </w:r>
      <w:r w:rsidRPr="0077606A">
        <w:t>European Semester assessments</w:t>
      </w:r>
      <w:r w:rsidR="00BE2EB9" w:rsidRPr="0077606A">
        <w:t xml:space="preserve"> and used to monitor the </w:t>
      </w:r>
      <w:r w:rsidR="00A82BB2" w:rsidRPr="0077606A">
        <w:t xml:space="preserve">Government’s </w:t>
      </w:r>
      <w:r w:rsidR="00BE2EB9" w:rsidRPr="0077606A">
        <w:t>stated target to halve the disability employment gap.</w:t>
      </w:r>
      <w:r w:rsidR="00A82BB2" w:rsidRPr="0077606A">
        <w:t xml:space="preserve"> </w:t>
      </w:r>
      <w:r w:rsidR="00D655F9">
        <w:t>Th</w:t>
      </w:r>
      <w:r w:rsidR="00DF5308">
        <w:t>is</w:t>
      </w:r>
      <w:r w:rsidR="00A82BB2" w:rsidRPr="0077606A">
        <w:t xml:space="preserve"> </w:t>
      </w:r>
      <w:r w:rsidR="003C2610" w:rsidRPr="0077606A">
        <w:t xml:space="preserve">national </w:t>
      </w:r>
      <w:r w:rsidR="00A82BB2" w:rsidRPr="0077606A">
        <w:t xml:space="preserve">LFS data </w:t>
      </w:r>
      <w:r w:rsidR="00D655F9">
        <w:t>could</w:t>
      </w:r>
      <w:r w:rsidR="00D655F9" w:rsidRPr="0077606A">
        <w:t xml:space="preserve"> </w:t>
      </w:r>
      <w:r w:rsidR="00A82BB2" w:rsidRPr="0077606A">
        <w:t xml:space="preserve">be </w:t>
      </w:r>
      <w:r w:rsidR="00D655F9">
        <w:t xml:space="preserve">easily </w:t>
      </w:r>
      <w:r w:rsidR="00A82BB2" w:rsidRPr="0077606A">
        <w:t xml:space="preserve">disaggregated for the age group 20-64 to </w:t>
      </w:r>
      <w:r w:rsidR="00DF5308">
        <w:t>mirror</w:t>
      </w:r>
      <w:r w:rsidR="00DF5308" w:rsidRPr="0077606A">
        <w:t xml:space="preserve"> </w:t>
      </w:r>
      <w:r w:rsidR="00A82BB2" w:rsidRPr="0077606A">
        <w:t xml:space="preserve">the EU </w:t>
      </w:r>
      <w:r w:rsidR="00D655F9">
        <w:t xml:space="preserve">strategy </w:t>
      </w:r>
      <w:r w:rsidR="00A82BB2" w:rsidRPr="0077606A">
        <w:t>measure from a disability perspective</w:t>
      </w:r>
      <w:r w:rsidR="00D655F9">
        <w:t>, up to date</w:t>
      </w:r>
      <w:r w:rsidR="00A82BB2" w:rsidRPr="0077606A">
        <w:t xml:space="preserve"> and on a quarterly basis.</w:t>
      </w:r>
    </w:p>
    <w:p w14:paraId="289BE50C" w14:textId="77777777" w:rsidR="0077606A" w:rsidRPr="0077606A" w:rsidRDefault="0077606A" w:rsidP="0016304F">
      <w:pPr>
        <w:spacing w:after="0"/>
      </w:pPr>
    </w:p>
    <w:p w14:paraId="7FAEB34E" w14:textId="77777777" w:rsidR="00561FF5" w:rsidRDefault="00561FF5" w:rsidP="0016304F">
      <w:pPr>
        <w:pStyle w:val="Heading3"/>
      </w:pPr>
      <w:bookmarkStart w:id="6" w:name="_Toc511056635"/>
      <w:r w:rsidRPr="0077606A">
        <w:lastRenderedPageBreak/>
        <w:t>Unemployment</w:t>
      </w:r>
      <w:bookmarkEnd w:id="6"/>
    </w:p>
    <w:p w14:paraId="6C21AF25" w14:textId="77777777" w:rsidR="0077606A" w:rsidRPr="0077606A" w:rsidRDefault="0077606A" w:rsidP="0016304F">
      <w:pPr>
        <w:spacing w:after="0"/>
      </w:pPr>
    </w:p>
    <w:p w14:paraId="14F7053F" w14:textId="5D2E5BB0" w:rsidR="00404D1C" w:rsidRDefault="00404D1C" w:rsidP="0016304F">
      <w:pPr>
        <w:pStyle w:val="BodyText"/>
        <w:spacing w:after="0"/>
      </w:pPr>
      <w:r>
        <w:t>National administrative rules and definitions of ‘unemployment’ vary, and these may affect the way in which disabled people are categorised in different countries. The following tables compare national data with the EU2020 headline indicator for the EU</w:t>
      </w:r>
      <w:r w:rsidR="0016304F">
        <w:t>.</w:t>
      </w:r>
    </w:p>
    <w:p w14:paraId="56805D9B" w14:textId="77777777" w:rsidR="0016304F" w:rsidRDefault="0016304F" w:rsidP="0016304F">
      <w:pPr>
        <w:pStyle w:val="BodyText"/>
        <w:spacing w:after="0"/>
      </w:pPr>
    </w:p>
    <w:p w14:paraId="6390EEC4" w14:textId="77777777" w:rsidR="00404D1C" w:rsidRDefault="00404D1C" w:rsidP="0016304F">
      <w:pPr>
        <w:pStyle w:val="Caption"/>
        <w:keepNext/>
      </w:pPr>
      <w:r>
        <w:t xml:space="preserve">Table </w:t>
      </w:r>
      <w:r w:rsidR="0016304F">
        <w:fldChar w:fldCharType="begin"/>
      </w:r>
      <w:r w:rsidR="0016304F">
        <w:instrText xml:space="preserve"> SEQ Table \* ARABIC </w:instrText>
      </w:r>
      <w:r w:rsidR="0016304F">
        <w:fldChar w:fldCharType="separate"/>
      </w:r>
      <w:r>
        <w:rPr>
          <w:noProof/>
        </w:rPr>
        <w:t>6</w:t>
      </w:r>
      <w:r w:rsidR="0016304F">
        <w:rPr>
          <w:noProof/>
        </w:rPr>
        <w:fldChar w:fldCharType="end"/>
      </w:r>
      <w:r>
        <w:rPr>
          <w:noProof/>
        </w:rPr>
        <w:t>: Most</w:t>
      </w:r>
      <w:r w:rsidRPr="00763664">
        <w:rPr>
          <w:noProof/>
        </w:rPr>
        <w:t xml:space="preserve"> </w:t>
      </w:r>
      <w:r>
        <w:rPr>
          <w:noProof/>
        </w:rPr>
        <w:t>recent un</w:t>
      </w:r>
      <w:r w:rsidRPr="00763664">
        <w:rPr>
          <w:noProof/>
        </w:rPr>
        <w:t xml:space="preserve">employment </w:t>
      </w:r>
      <w:r>
        <w:rPr>
          <w:noProof/>
        </w:rPr>
        <w:t>data, aged 20-64</w:t>
      </w:r>
    </w:p>
    <w:p w14:paraId="4A24CDD6" w14:textId="77777777" w:rsidR="00404D1C" w:rsidRDefault="00404D1C" w:rsidP="0016304F">
      <w:pPr>
        <w:spacing w:after="0"/>
      </w:pPr>
      <w:r>
        <w:rPr>
          <w:noProof/>
          <w:lang w:eastAsia="en-GB"/>
        </w:rPr>
        <w:drawing>
          <wp:inline distT="0" distB="0" distL="0" distR="0" wp14:anchorId="5BAB1504" wp14:editId="4D5218CA">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F97585" w14:textId="7CB01F08"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0BA36255" w14:textId="77777777" w:rsidR="0016304F" w:rsidRDefault="0016304F" w:rsidP="0016304F">
      <w:pPr>
        <w:pStyle w:val="Sourcereference"/>
        <w:rPr>
          <w:lang w:eastAsia="en-GB"/>
        </w:rPr>
      </w:pPr>
    </w:p>
    <w:p w14:paraId="7D1E1C92"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7</w:t>
      </w:r>
      <w:r w:rsidR="0016304F">
        <w:rPr>
          <w:noProof/>
        </w:rPr>
        <w:fldChar w:fldCharType="end"/>
      </w:r>
      <w:r>
        <w:t>: Unemployment rate data, by age group</w:t>
      </w:r>
    </w:p>
    <w:p w14:paraId="073B0228" w14:textId="77777777" w:rsidR="00404D1C" w:rsidRDefault="00404D1C" w:rsidP="0016304F">
      <w:pPr>
        <w:spacing w:after="0"/>
        <w:rPr>
          <w:sz w:val="20"/>
          <w:szCs w:val="20"/>
        </w:rPr>
      </w:pPr>
      <w:r>
        <w:rPr>
          <w:noProof/>
          <w:lang w:eastAsia="en-GB"/>
        </w:rPr>
        <w:drawing>
          <wp:inline distT="0" distB="0" distL="0" distR="0" wp14:anchorId="618DCB28" wp14:editId="17B7AC34">
            <wp:extent cx="5583044" cy="266885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CE73F2"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74430CB0" w14:textId="77777777" w:rsidR="00404D1C" w:rsidRDefault="00404D1C" w:rsidP="0016304F">
      <w:pPr>
        <w:spacing w:after="0"/>
        <w:rPr>
          <w:lang w:eastAsia="en-GB"/>
        </w:rPr>
      </w:pPr>
    </w:p>
    <w:p w14:paraId="4B4AACDB" w14:textId="77777777" w:rsidR="00404D1C" w:rsidRDefault="00404D1C" w:rsidP="0016304F">
      <w:pPr>
        <w:pStyle w:val="Caption"/>
        <w:keepNext/>
      </w:pPr>
      <w:r>
        <w:lastRenderedPageBreak/>
        <w:t xml:space="preserve">Table </w:t>
      </w:r>
      <w:r w:rsidR="0016304F">
        <w:fldChar w:fldCharType="begin"/>
      </w:r>
      <w:r w:rsidR="0016304F">
        <w:instrText xml:space="preserve"> SEQ Table \* ARABIC </w:instrText>
      </w:r>
      <w:r w:rsidR="0016304F">
        <w:fldChar w:fldCharType="separate"/>
      </w:r>
      <w:r>
        <w:rPr>
          <w:noProof/>
        </w:rPr>
        <w:t>8</w:t>
      </w:r>
      <w:r w:rsidR="0016304F">
        <w:rPr>
          <w:noProof/>
        </w:rPr>
        <w:fldChar w:fldCharType="end"/>
      </w:r>
      <w:r>
        <w:t>: Trends in unemployment by gender and disability (aged 20-64)</w:t>
      </w:r>
    </w:p>
    <w:p w14:paraId="0AD61D36" w14:textId="77777777" w:rsidR="00404D1C" w:rsidRDefault="00404D1C" w:rsidP="0016304F">
      <w:pPr>
        <w:spacing w:after="0"/>
      </w:pPr>
      <w:r>
        <w:rPr>
          <w:noProof/>
          <w:lang w:eastAsia="en-GB"/>
        </w:rPr>
        <w:drawing>
          <wp:inline distT="0" distB="0" distL="0" distR="0" wp14:anchorId="7C56053A" wp14:editId="0B138712">
            <wp:extent cx="5486400" cy="46386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2B5750"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r w:rsidRPr="00E024C9">
        <w:rPr>
          <w:lang w:eastAsia="en-GB"/>
        </w:rPr>
        <w:t xml:space="preserve"> (and preceding UDBs)</w:t>
      </w:r>
    </w:p>
    <w:p w14:paraId="65D4A360" w14:textId="69110C72" w:rsidR="00DF1931" w:rsidRPr="00DF1931" w:rsidRDefault="00404D1C" w:rsidP="0016304F">
      <w:pPr>
        <w:spacing w:after="0"/>
        <w:rPr>
          <w:i/>
          <w:sz w:val="20"/>
        </w:rPr>
      </w:pPr>
      <w:r>
        <w:rPr>
          <w:lang w:eastAsia="en-GB"/>
        </w:rPr>
        <w:t>Fluctuations in the gendered tends for people with impairments should be treated with caution, although the pattern is somewhat similar for those without. The UK disability trends in unemployment are difficult to interpret precisely. Indicative polynomial trend lines are added for illustration only</w:t>
      </w:r>
      <w:r w:rsidR="00DF1931" w:rsidRPr="00DF1931">
        <w:rPr>
          <w:i/>
          <w:sz w:val="20"/>
        </w:rPr>
        <w:t>.</w:t>
      </w:r>
    </w:p>
    <w:p w14:paraId="08510AF3" w14:textId="77777777" w:rsidR="0077606A" w:rsidRPr="0077606A" w:rsidRDefault="0077606A" w:rsidP="0016304F">
      <w:pPr>
        <w:pStyle w:val="Sourcereference"/>
        <w:rPr>
          <w:lang w:eastAsia="en-GB"/>
        </w:rPr>
      </w:pPr>
    </w:p>
    <w:p w14:paraId="281DAF6C" w14:textId="77777777" w:rsidR="00082E6D" w:rsidRDefault="00082E6D" w:rsidP="0016304F">
      <w:pPr>
        <w:pStyle w:val="Un-numberedsubheading"/>
        <w:spacing w:after="0"/>
      </w:pPr>
      <w:r w:rsidRPr="0077606A">
        <w:t>Alternative data on disability and unemployment from national sources:</w:t>
      </w:r>
    </w:p>
    <w:p w14:paraId="15DF7CFB" w14:textId="77777777" w:rsidR="0077606A" w:rsidRPr="0077606A" w:rsidRDefault="0077606A" w:rsidP="0016304F">
      <w:pPr>
        <w:pStyle w:val="Un-numberedsubheading"/>
        <w:spacing w:after="0"/>
      </w:pPr>
    </w:p>
    <w:p w14:paraId="39CA6C3F" w14:textId="4143E921" w:rsidR="00C57C03" w:rsidRDefault="00C57C03" w:rsidP="0016304F">
      <w:pPr>
        <w:spacing w:after="0"/>
      </w:pPr>
      <w:r w:rsidRPr="0077606A">
        <w:t xml:space="preserve">The national disability strategy </w:t>
      </w:r>
      <w:r w:rsidRPr="0077606A">
        <w:rPr>
          <w:i/>
        </w:rPr>
        <w:t>Outcomes and Indicators Framework Progress Report 2014</w:t>
      </w:r>
      <w:r w:rsidRPr="0077606A">
        <w:t xml:space="preserve"> </w:t>
      </w:r>
      <w:r w:rsidR="00D717C8">
        <w:t>included</w:t>
      </w:r>
      <w:r w:rsidRPr="0077606A">
        <w:t xml:space="preserve"> a subsidiary indicator for unemployment (as part of Table 2.21 on economic activity). It also include</w:t>
      </w:r>
      <w:r w:rsidR="00D717C8">
        <w:t>d</w:t>
      </w:r>
      <w:r w:rsidRPr="0077606A">
        <w:t xml:space="preserve"> indicators for ‘Individuals who are not in work who would like to work’ and ‘Working age people who have never worked’, although these </w:t>
      </w:r>
      <w:r w:rsidR="00D717C8">
        <w:t>did</w:t>
      </w:r>
      <w:r w:rsidR="00D717C8" w:rsidRPr="0077606A">
        <w:t xml:space="preserve"> </w:t>
      </w:r>
      <w:r w:rsidRPr="0077606A">
        <w:t>not indicate particularly large differences overall between disabled and non-disabled people.</w:t>
      </w:r>
      <w:r w:rsidRPr="0077606A">
        <w:rPr>
          <w:rStyle w:val="FootnoteReference"/>
        </w:rPr>
        <w:footnoteReference w:id="20"/>
      </w:r>
      <w:r w:rsidRPr="0077606A">
        <w:t xml:space="preserve"> These </w:t>
      </w:r>
      <w:r w:rsidR="00D717C8">
        <w:t>were</w:t>
      </w:r>
      <w:r w:rsidR="00D717C8" w:rsidRPr="0077606A">
        <w:t xml:space="preserve"> </w:t>
      </w:r>
      <w:r w:rsidRPr="0077606A">
        <w:t>not disaggregated by gender and cover</w:t>
      </w:r>
      <w:r w:rsidR="00D717C8">
        <w:t>ed</w:t>
      </w:r>
      <w:r w:rsidRPr="0077606A">
        <w:t xml:space="preserve"> the age group 16-64, whereas the EU2020 target relates to the age group 20-64.</w:t>
      </w:r>
      <w:r w:rsidR="00D717C8">
        <w:t xml:space="preserve"> These have not been updated </w:t>
      </w:r>
      <w:r w:rsidR="00056285">
        <w:t>since 2014</w:t>
      </w:r>
      <w:r w:rsidR="00D717C8">
        <w:t>.</w:t>
      </w:r>
    </w:p>
    <w:p w14:paraId="25A7762B" w14:textId="77777777" w:rsidR="0077606A" w:rsidRPr="0077606A" w:rsidRDefault="0077606A" w:rsidP="0016304F">
      <w:pPr>
        <w:spacing w:after="0"/>
      </w:pPr>
    </w:p>
    <w:p w14:paraId="08AA0659" w14:textId="04BC322F" w:rsidR="000A1224" w:rsidRDefault="000A1224" w:rsidP="0016304F">
      <w:pPr>
        <w:spacing w:after="0"/>
      </w:pPr>
      <w:r w:rsidRPr="0077606A">
        <w:lastRenderedPageBreak/>
        <w:t xml:space="preserve">Following the data on employment, the ONS quarterly release on the </w:t>
      </w:r>
      <w:r w:rsidRPr="0077606A">
        <w:rPr>
          <w:i/>
        </w:rPr>
        <w:t>Labour market status of disabled people</w:t>
      </w:r>
      <w:r w:rsidRPr="0077606A">
        <w:t xml:space="preserve"> includes estimates of unemployment for the age group 16-64, </w:t>
      </w:r>
      <w:r w:rsidR="00C57C03" w:rsidRPr="0077606A">
        <w:t xml:space="preserve">and </w:t>
      </w:r>
      <w:r w:rsidRPr="0077606A">
        <w:t>disaggregated by gender. As highlighted earlier, these are based on LFS data using a methodology consistent with EU-SILC since 2013.</w:t>
      </w:r>
      <w:r w:rsidR="00021E8C">
        <w:rPr>
          <w:rStyle w:val="FootnoteReference"/>
        </w:rPr>
        <w:footnoteReference w:id="21"/>
      </w:r>
      <w:r w:rsidRPr="0077606A">
        <w:t xml:space="preserve"> The most recent data on this basis is shown in the following table.</w:t>
      </w:r>
    </w:p>
    <w:p w14:paraId="7DC23B07" w14:textId="77777777" w:rsidR="0077606A" w:rsidRPr="0077606A" w:rsidRDefault="0077606A" w:rsidP="0016304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06"/>
        <w:gridCol w:w="2006"/>
        <w:gridCol w:w="2007"/>
        <w:gridCol w:w="1218"/>
      </w:tblGrid>
      <w:tr w:rsidR="0024672E" w:rsidRPr="0077606A" w14:paraId="2ACAFAC7" w14:textId="77777777" w:rsidTr="00A1631D">
        <w:tc>
          <w:tcPr>
            <w:tcW w:w="5000" w:type="pct"/>
            <w:gridSpan w:val="5"/>
            <w:shd w:val="clear" w:color="auto" w:fill="auto"/>
          </w:tcPr>
          <w:p w14:paraId="1F5F6C50" w14:textId="77777777" w:rsidR="0024672E" w:rsidRPr="0077606A" w:rsidRDefault="0024672E" w:rsidP="0016304F">
            <w:pPr>
              <w:spacing w:after="0"/>
              <w:rPr>
                <w:b/>
                <w:bCs/>
              </w:rPr>
            </w:pPr>
            <w:r w:rsidRPr="0077606A">
              <w:rPr>
                <w:b/>
                <w:bCs/>
              </w:rPr>
              <w:t>Reported unemployment rates of disabled men and women aged 16-64</w:t>
            </w:r>
          </w:p>
        </w:tc>
      </w:tr>
      <w:tr w:rsidR="0024672E" w:rsidRPr="0077606A" w14:paraId="6EECDF11" w14:textId="77777777" w:rsidTr="0024672E">
        <w:tc>
          <w:tcPr>
            <w:tcW w:w="1085" w:type="pct"/>
            <w:shd w:val="clear" w:color="auto" w:fill="auto"/>
          </w:tcPr>
          <w:p w14:paraId="4803633C" w14:textId="77777777" w:rsidR="0024672E" w:rsidRPr="0077606A" w:rsidRDefault="0024672E" w:rsidP="0016304F">
            <w:pPr>
              <w:spacing w:after="0"/>
              <w:rPr>
                <w:b/>
                <w:bCs/>
              </w:rPr>
            </w:pPr>
          </w:p>
        </w:tc>
        <w:tc>
          <w:tcPr>
            <w:tcW w:w="1085" w:type="pct"/>
          </w:tcPr>
          <w:p w14:paraId="4502BE74" w14:textId="77777777" w:rsidR="0024672E" w:rsidRPr="0077606A" w:rsidRDefault="0024672E" w:rsidP="0016304F">
            <w:pPr>
              <w:spacing w:after="0"/>
              <w:rPr>
                <w:b/>
                <w:bCs/>
              </w:rPr>
            </w:pPr>
            <w:r w:rsidRPr="0077606A">
              <w:rPr>
                <w:b/>
                <w:bCs/>
              </w:rPr>
              <w:t>Non-disabled Men and Women</w:t>
            </w:r>
          </w:p>
        </w:tc>
        <w:tc>
          <w:tcPr>
            <w:tcW w:w="1085" w:type="pct"/>
            <w:shd w:val="clear" w:color="auto" w:fill="auto"/>
          </w:tcPr>
          <w:p w14:paraId="155130D3" w14:textId="77777777" w:rsidR="0024672E" w:rsidRPr="0077606A" w:rsidRDefault="0024672E" w:rsidP="0016304F">
            <w:pPr>
              <w:spacing w:after="0"/>
            </w:pPr>
            <w:r w:rsidRPr="0077606A">
              <w:rPr>
                <w:b/>
                <w:bCs/>
              </w:rPr>
              <w:t>Disabled Men and Women</w:t>
            </w:r>
          </w:p>
        </w:tc>
        <w:tc>
          <w:tcPr>
            <w:tcW w:w="1086" w:type="pct"/>
            <w:shd w:val="clear" w:color="auto" w:fill="auto"/>
          </w:tcPr>
          <w:p w14:paraId="66CAC978" w14:textId="77777777" w:rsidR="0024672E" w:rsidRPr="0077606A" w:rsidRDefault="0024672E" w:rsidP="0016304F">
            <w:pPr>
              <w:spacing w:after="0"/>
              <w:rPr>
                <w:b/>
                <w:bCs/>
              </w:rPr>
            </w:pPr>
            <w:r w:rsidRPr="0077606A">
              <w:rPr>
                <w:b/>
                <w:bCs/>
              </w:rPr>
              <w:t>Disabled men</w:t>
            </w:r>
          </w:p>
        </w:tc>
        <w:tc>
          <w:tcPr>
            <w:tcW w:w="659" w:type="pct"/>
            <w:shd w:val="clear" w:color="auto" w:fill="auto"/>
          </w:tcPr>
          <w:p w14:paraId="0C9FF0FD" w14:textId="77777777" w:rsidR="0024672E" w:rsidRPr="0077606A" w:rsidRDefault="0024672E" w:rsidP="0016304F">
            <w:pPr>
              <w:spacing w:after="0"/>
              <w:rPr>
                <w:b/>
                <w:bCs/>
              </w:rPr>
            </w:pPr>
            <w:r w:rsidRPr="0077606A">
              <w:rPr>
                <w:b/>
                <w:bCs/>
              </w:rPr>
              <w:t>Disabled women</w:t>
            </w:r>
          </w:p>
        </w:tc>
      </w:tr>
      <w:tr w:rsidR="0024672E" w:rsidRPr="0077606A" w14:paraId="04A839FA" w14:textId="77777777" w:rsidTr="0024672E">
        <w:tc>
          <w:tcPr>
            <w:tcW w:w="1085" w:type="pct"/>
            <w:shd w:val="clear" w:color="auto" w:fill="auto"/>
          </w:tcPr>
          <w:p w14:paraId="1036821E" w14:textId="77777777" w:rsidR="0024672E" w:rsidRPr="0077606A" w:rsidRDefault="0024672E" w:rsidP="0016304F">
            <w:pPr>
              <w:spacing w:after="0"/>
              <w:rPr>
                <w:b/>
                <w:bCs/>
              </w:rPr>
            </w:pPr>
            <w:r w:rsidRPr="0077606A">
              <w:rPr>
                <w:b/>
                <w:bCs/>
              </w:rPr>
              <w:t>Apr-Jun 2013</w:t>
            </w:r>
          </w:p>
        </w:tc>
        <w:tc>
          <w:tcPr>
            <w:tcW w:w="1085" w:type="pct"/>
          </w:tcPr>
          <w:p w14:paraId="162A84F4" w14:textId="77777777" w:rsidR="0024672E" w:rsidRPr="0077606A" w:rsidRDefault="0024672E" w:rsidP="0016304F">
            <w:pPr>
              <w:spacing w:after="0"/>
              <w:jc w:val="right"/>
            </w:pPr>
            <w:r w:rsidRPr="0077606A">
              <w:t>7.1%</w:t>
            </w:r>
          </w:p>
        </w:tc>
        <w:tc>
          <w:tcPr>
            <w:tcW w:w="1085" w:type="pct"/>
            <w:shd w:val="clear" w:color="auto" w:fill="auto"/>
          </w:tcPr>
          <w:p w14:paraId="783B4620" w14:textId="77777777" w:rsidR="0024672E" w:rsidRPr="0077606A" w:rsidRDefault="0024672E" w:rsidP="0016304F">
            <w:pPr>
              <w:spacing w:after="0"/>
              <w:jc w:val="right"/>
            </w:pPr>
            <w:r w:rsidRPr="0077606A">
              <w:t>13.5%</w:t>
            </w:r>
          </w:p>
        </w:tc>
        <w:tc>
          <w:tcPr>
            <w:tcW w:w="1086" w:type="pct"/>
            <w:shd w:val="clear" w:color="auto" w:fill="auto"/>
          </w:tcPr>
          <w:p w14:paraId="14FE3064" w14:textId="42DDE5ED" w:rsidR="0024672E" w:rsidRPr="0077606A" w:rsidRDefault="0024672E" w:rsidP="0016304F">
            <w:pPr>
              <w:spacing w:after="0"/>
              <w:jc w:val="right"/>
            </w:pPr>
            <w:r w:rsidRPr="0077606A">
              <w:t>14.</w:t>
            </w:r>
            <w:r w:rsidR="00DB76FC">
              <w:t>6</w:t>
            </w:r>
            <w:r w:rsidRPr="0077606A">
              <w:t>%</w:t>
            </w:r>
          </w:p>
        </w:tc>
        <w:tc>
          <w:tcPr>
            <w:tcW w:w="659" w:type="pct"/>
            <w:shd w:val="clear" w:color="auto" w:fill="auto"/>
          </w:tcPr>
          <w:p w14:paraId="76931C0E" w14:textId="77777777" w:rsidR="0024672E" w:rsidRPr="0077606A" w:rsidRDefault="0024672E" w:rsidP="0016304F">
            <w:pPr>
              <w:spacing w:after="0"/>
              <w:jc w:val="right"/>
            </w:pPr>
            <w:r w:rsidRPr="0077606A">
              <w:t>12.5%</w:t>
            </w:r>
          </w:p>
        </w:tc>
      </w:tr>
      <w:tr w:rsidR="0024672E" w:rsidRPr="0077606A" w14:paraId="36C2953A" w14:textId="77777777" w:rsidTr="0024672E">
        <w:tc>
          <w:tcPr>
            <w:tcW w:w="1085" w:type="pct"/>
            <w:shd w:val="clear" w:color="auto" w:fill="auto"/>
          </w:tcPr>
          <w:p w14:paraId="44C4ED15" w14:textId="77777777" w:rsidR="0024672E" w:rsidRPr="0077606A" w:rsidRDefault="0024672E" w:rsidP="0016304F">
            <w:pPr>
              <w:spacing w:after="0"/>
              <w:rPr>
                <w:b/>
                <w:bCs/>
              </w:rPr>
            </w:pPr>
            <w:r w:rsidRPr="0077606A">
              <w:rPr>
                <w:b/>
                <w:bCs/>
              </w:rPr>
              <w:t>Apr-Jun 2014</w:t>
            </w:r>
          </w:p>
        </w:tc>
        <w:tc>
          <w:tcPr>
            <w:tcW w:w="1085" w:type="pct"/>
          </w:tcPr>
          <w:p w14:paraId="51C8207C" w14:textId="55CA9F6B" w:rsidR="0024672E" w:rsidRPr="0077606A" w:rsidRDefault="0024672E" w:rsidP="0016304F">
            <w:pPr>
              <w:spacing w:after="0"/>
              <w:jc w:val="right"/>
            </w:pPr>
            <w:r w:rsidRPr="0077606A">
              <w:t>5.</w:t>
            </w:r>
            <w:r w:rsidR="00DB76FC">
              <w:t>6</w:t>
            </w:r>
            <w:r w:rsidRPr="0077606A">
              <w:t>%</w:t>
            </w:r>
          </w:p>
        </w:tc>
        <w:tc>
          <w:tcPr>
            <w:tcW w:w="1085" w:type="pct"/>
            <w:shd w:val="clear" w:color="auto" w:fill="auto"/>
          </w:tcPr>
          <w:p w14:paraId="0593176E" w14:textId="77777777" w:rsidR="0024672E" w:rsidRPr="0077606A" w:rsidRDefault="0024672E" w:rsidP="0016304F">
            <w:pPr>
              <w:spacing w:after="0"/>
              <w:jc w:val="right"/>
            </w:pPr>
            <w:r w:rsidRPr="0077606A">
              <w:t>12.7%</w:t>
            </w:r>
          </w:p>
        </w:tc>
        <w:tc>
          <w:tcPr>
            <w:tcW w:w="1086" w:type="pct"/>
            <w:shd w:val="clear" w:color="auto" w:fill="auto"/>
          </w:tcPr>
          <w:p w14:paraId="76F69D64" w14:textId="77777777" w:rsidR="0024672E" w:rsidRPr="0077606A" w:rsidRDefault="0024672E" w:rsidP="0016304F">
            <w:pPr>
              <w:spacing w:after="0"/>
              <w:jc w:val="right"/>
            </w:pPr>
            <w:r w:rsidRPr="0077606A">
              <w:t>14.5%</w:t>
            </w:r>
          </w:p>
        </w:tc>
        <w:tc>
          <w:tcPr>
            <w:tcW w:w="659" w:type="pct"/>
            <w:shd w:val="clear" w:color="auto" w:fill="auto"/>
          </w:tcPr>
          <w:p w14:paraId="6E00FBA3" w14:textId="77777777" w:rsidR="0024672E" w:rsidRPr="0077606A" w:rsidRDefault="0024672E" w:rsidP="0016304F">
            <w:pPr>
              <w:spacing w:after="0"/>
              <w:jc w:val="right"/>
            </w:pPr>
            <w:r w:rsidRPr="0077606A">
              <w:t>11.0%</w:t>
            </w:r>
          </w:p>
        </w:tc>
      </w:tr>
      <w:tr w:rsidR="0024672E" w:rsidRPr="0077606A" w14:paraId="3A66DCAA" w14:textId="77777777" w:rsidTr="0024672E">
        <w:tc>
          <w:tcPr>
            <w:tcW w:w="1085" w:type="pct"/>
            <w:shd w:val="clear" w:color="auto" w:fill="auto"/>
          </w:tcPr>
          <w:p w14:paraId="61E39308" w14:textId="77777777" w:rsidR="0024672E" w:rsidRPr="0077606A" w:rsidRDefault="0024672E" w:rsidP="0016304F">
            <w:pPr>
              <w:spacing w:after="0"/>
              <w:rPr>
                <w:b/>
                <w:bCs/>
              </w:rPr>
            </w:pPr>
            <w:r w:rsidRPr="0077606A">
              <w:rPr>
                <w:b/>
                <w:bCs/>
              </w:rPr>
              <w:t>Apr-Jun 2015</w:t>
            </w:r>
          </w:p>
        </w:tc>
        <w:tc>
          <w:tcPr>
            <w:tcW w:w="1085" w:type="pct"/>
          </w:tcPr>
          <w:p w14:paraId="728C8640" w14:textId="5952C268" w:rsidR="0024672E" w:rsidRPr="0077606A" w:rsidRDefault="0024672E" w:rsidP="0016304F">
            <w:pPr>
              <w:spacing w:after="0"/>
              <w:jc w:val="right"/>
            </w:pPr>
            <w:r w:rsidRPr="0077606A">
              <w:t>4.</w:t>
            </w:r>
            <w:r w:rsidR="00DB76FC">
              <w:t>9</w:t>
            </w:r>
            <w:r w:rsidRPr="0077606A">
              <w:t>%</w:t>
            </w:r>
          </w:p>
        </w:tc>
        <w:tc>
          <w:tcPr>
            <w:tcW w:w="1085" w:type="pct"/>
            <w:shd w:val="clear" w:color="auto" w:fill="auto"/>
          </w:tcPr>
          <w:p w14:paraId="1407381E" w14:textId="77777777" w:rsidR="0024672E" w:rsidRPr="0077606A" w:rsidRDefault="0024672E" w:rsidP="0016304F">
            <w:pPr>
              <w:spacing w:after="0"/>
              <w:jc w:val="right"/>
            </w:pPr>
            <w:r w:rsidRPr="0077606A">
              <w:t>11.5%</w:t>
            </w:r>
          </w:p>
        </w:tc>
        <w:tc>
          <w:tcPr>
            <w:tcW w:w="1086" w:type="pct"/>
            <w:shd w:val="clear" w:color="auto" w:fill="auto"/>
          </w:tcPr>
          <w:p w14:paraId="74009BE8" w14:textId="77777777" w:rsidR="0024672E" w:rsidRPr="0077606A" w:rsidRDefault="0024672E" w:rsidP="0016304F">
            <w:pPr>
              <w:spacing w:after="0"/>
              <w:jc w:val="right"/>
            </w:pPr>
            <w:r w:rsidRPr="0077606A">
              <w:t>12.5%</w:t>
            </w:r>
          </w:p>
        </w:tc>
        <w:tc>
          <w:tcPr>
            <w:tcW w:w="659" w:type="pct"/>
            <w:shd w:val="clear" w:color="auto" w:fill="auto"/>
          </w:tcPr>
          <w:p w14:paraId="5669F849" w14:textId="77777777" w:rsidR="0024672E" w:rsidRPr="0077606A" w:rsidRDefault="0024672E" w:rsidP="0016304F">
            <w:pPr>
              <w:spacing w:after="0"/>
              <w:jc w:val="right"/>
            </w:pPr>
            <w:r w:rsidRPr="0077606A">
              <w:t>10.7%</w:t>
            </w:r>
          </w:p>
        </w:tc>
      </w:tr>
      <w:tr w:rsidR="00DB76FC" w:rsidRPr="0077606A" w14:paraId="576CD77D" w14:textId="77777777" w:rsidTr="0024672E">
        <w:tc>
          <w:tcPr>
            <w:tcW w:w="1085" w:type="pct"/>
            <w:shd w:val="clear" w:color="auto" w:fill="auto"/>
          </w:tcPr>
          <w:p w14:paraId="172C3EED" w14:textId="77777777" w:rsidR="00DB76FC" w:rsidRPr="0077606A" w:rsidRDefault="00DB76FC" w:rsidP="0016304F">
            <w:pPr>
              <w:spacing w:after="0"/>
              <w:rPr>
                <w:b/>
                <w:bCs/>
              </w:rPr>
            </w:pPr>
            <w:r>
              <w:rPr>
                <w:b/>
                <w:bCs/>
              </w:rPr>
              <w:t>Apr-Jun 2016</w:t>
            </w:r>
          </w:p>
        </w:tc>
        <w:tc>
          <w:tcPr>
            <w:tcW w:w="1085" w:type="pct"/>
          </w:tcPr>
          <w:p w14:paraId="1776C36C" w14:textId="77777777" w:rsidR="00DB76FC" w:rsidRPr="0077606A" w:rsidRDefault="00DB76FC" w:rsidP="0016304F">
            <w:pPr>
              <w:spacing w:after="0"/>
              <w:jc w:val="right"/>
            </w:pPr>
            <w:r>
              <w:t>4.3%</w:t>
            </w:r>
          </w:p>
        </w:tc>
        <w:tc>
          <w:tcPr>
            <w:tcW w:w="1085" w:type="pct"/>
            <w:shd w:val="clear" w:color="auto" w:fill="auto"/>
          </w:tcPr>
          <w:p w14:paraId="4233B7FD" w14:textId="77777777" w:rsidR="00DB76FC" w:rsidRPr="0077606A" w:rsidRDefault="00DB76FC" w:rsidP="0016304F">
            <w:pPr>
              <w:spacing w:after="0"/>
              <w:jc w:val="right"/>
            </w:pPr>
            <w:r>
              <w:t>10.0%</w:t>
            </w:r>
          </w:p>
        </w:tc>
        <w:tc>
          <w:tcPr>
            <w:tcW w:w="1086" w:type="pct"/>
            <w:shd w:val="clear" w:color="auto" w:fill="auto"/>
          </w:tcPr>
          <w:p w14:paraId="55262FC3" w14:textId="77777777" w:rsidR="00DB76FC" w:rsidRPr="0077606A" w:rsidRDefault="00DB76FC" w:rsidP="0016304F">
            <w:pPr>
              <w:spacing w:after="0"/>
              <w:jc w:val="right"/>
            </w:pPr>
            <w:r>
              <w:t>11.7%</w:t>
            </w:r>
          </w:p>
        </w:tc>
        <w:tc>
          <w:tcPr>
            <w:tcW w:w="659" w:type="pct"/>
            <w:shd w:val="clear" w:color="auto" w:fill="auto"/>
          </w:tcPr>
          <w:p w14:paraId="3503374A" w14:textId="65536BF4" w:rsidR="00DB76FC" w:rsidRPr="0077606A" w:rsidRDefault="00DB76FC" w:rsidP="0016304F">
            <w:pPr>
              <w:spacing w:after="0"/>
              <w:jc w:val="right"/>
            </w:pPr>
            <w:r>
              <w:t>8.</w:t>
            </w:r>
            <w:r w:rsidR="00056285">
              <w:t>6</w:t>
            </w:r>
            <w:r>
              <w:t>%</w:t>
            </w:r>
          </w:p>
        </w:tc>
      </w:tr>
      <w:tr w:rsidR="00056285" w:rsidRPr="0077606A" w14:paraId="1DB29D0C" w14:textId="77777777" w:rsidTr="0024672E">
        <w:tc>
          <w:tcPr>
            <w:tcW w:w="1085" w:type="pct"/>
            <w:shd w:val="clear" w:color="auto" w:fill="auto"/>
          </w:tcPr>
          <w:p w14:paraId="0580B09B" w14:textId="6A03B94E" w:rsidR="00056285" w:rsidRDefault="00056285" w:rsidP="0016304F">
            <w:pPr>
              <w:spacing w:after="0"/>
              <w:rPr>
                <w:b/>
                <w:bCs/>
              </w:rPr>
            </w:pPr>
            <w:r>
              <w:rPr>
                <w:b/>
                <w:bCs/>
              </w:rPr>
              <w:t>Apr-Jun 2017</w:t>
            </w:r>
          </w:p>
        </w:tc>
        <w:tc>
          <w:tcPr>
            <w:tcW w:w="1085" w:type="pct"/>
          </w:tcPr>
          <w:p w14:paraId="3503E594" w14:textId="2BE8E397" w:rsidR="00056285" w:rsidRDefault="00056285" w:rsidP="0016304F">
            <w:pPr>
              <w:spacing w:after="0"/>
              <w:jc w:val="right"/>
            </w:pPr>
            <w:r>
              <w:t>3.8%</w:t>
            </w:r>
          </w:p>
        </w:tc>
        <w:tc>
          <w:tcPr>
            <w:tcW w:w="1085" w:type="pct"/>
            <w:shd w:val="clear" w:color="auto" w:fill="auto"/>
          </w:tcPr>
          <w:p w14:paraId="718B2C3D" w14:textId="206FF42B" w:rsidR="00056285" w:rsidRDefault="00056285" w:rsidP="0016304F">
            <w:pPr>
              <w:spacing w:after="0"/>
              <w:jc w:val="right"/>
            </w:pPr>
            <w:r>
              <w:t>9.0%</w:t>
            </w:r>
          </w:p>
        </w:tc>
        <w:tc>
          <w:tcPr>
            <w:tcW w:w="1086" w:type="pct"/>
            <w:shd w:val="clear" w:color="auto" w:fill="auto"/>
          </w:tcPr>
          <w:p w14:paraId="032D1953" w14:textId="01F6E712" w:rsidR="00056285" w:rsidRDefault="00056285" w:rsidP="0016304F">
            <w:pPr>
              <w:spacing w:after="0"/>
              <w:jc w:val="right"/>
            </w:pPr>
            <w:r>
              <w:t>11.4%</w:t>
            </w:r>
          </w:p>
        </w:tc>
        <w:tc>
          <w:tcPr>
            <w:tcW w:w="659" w:type="pct"/>
            <w:shd w:val="clear" w:color="auto" w:fill="auto"/>
          </w:tcPr>
          <w:p w14:paraId="74312DB0" w14:textId="3FF31933" w:rsidR="00056285" w:rsidRDefault="00056285" w:rsidP="0016304F">
            <w:pPr>
              <w:spacing w:after="0"/>
              <w:jc w:val="right"/>
            </w:pPr>
            <w:r>
              <w:t>7.1%</w:t>
            </w:r>
          </w:p>
        </w:tc>
      </w:tr>
    </w:tbl>
    <w:p w14:paraId="0593CCCD" w14:textId="326EA5D1" w:rsidR="000A1224" w:rsidRPr="00264A95" w:rsidRDefault="000A1224" w:rsidP="0016304F">
      <w:pPr>
        <w:spacing w:after="0"/>
        <w:rPr>
          <w:i/>
          <w:iCs/>
          <w:sz w:val="20"/>
        </w:rPr>
      </w:pPr>
      <w:r w:rsidRPr="00264A95">
        <w:rPr>
          <w:i/>
          <w:iCs/>
          <w:sz w:val="20"/>
        </w:rPr>
        <w:t>Adapted from Table A08: Labour market status of disabled people, 1</w:t>
      </w:r>
      <w:r w:rsidR="00DB76FC" w:rsidRPr="00264A95">
        <w:rPr>
          <w:i/>
          <w:iCs/>
          <w:sz w:val="20"/>
        </w:rPr>
        <w:t>7</w:t>
      </w:r>
      <w:r w:rsidRPr="00264A95">
        <w:rPr>
          <w:i/>
          <w:iCs/>
          <w:sz w:val="20"/>
        </w:rPr>
        <w:t xml:space="preserve"> August 201</w:t>
      </w:r>
      <w:r w:rsidR="00DB76FC" w:rsidRPr="00264A95">
        <w:rPr>
          <w:i/>
          <w:iCs/>
          <w:sz w:val="20"/>
        </w:rPr>
        <w:t>6</w:t>
      </w:r>
      <w:r w:rsidRPr="00264A95">
        <w:rPr>
          <w:i/>
          <w:iCs/>
          <w:sz w:val="20"/>
        </w:rPr>
        <w:t xml:space="preserve"> (Source: LFS, using the </w:t>
      </w:r>
      <w:r w:rsidR="00DB76FC" w:rsidRPr="00264A95">
        <w:rPr>
          <w:i/>
          <w:iCs/>
          <w:sz w:val="20"/>
        </w:rPr>
        <w:t>Harmonised Standard</w:t>
      </w:r>
      <w:r w:rsidRPr="00264A95">
        <w:rPr>
          <w:i/>
          <w:iCs/>
          <w:sz w:val="20"/>
        </w:rPr>
        <w:t xml:space="preserve"> definition)</w:t>
      </w:r>
    </w:p>
    <w:p w14:paraId="122487A7" w14:textId="77777777" w:rsidR="0077606A" w:rsidRPr="0077606A" w:rsidRDefault="0077606A" w:rsidP="0016304F">
      <w:pPr>
        <w:spacing w:after="0"/>
        <w:rPr>
          <w:i/>
          <w:iCs/>
        </w:rPr>
      </w:pPr>
    </w:p>
    <w:p w14:paraId="1E74C778" w14:textId="70185873" w:rsidR="00561FF5" w:rsidRPr="0077606A" w:rsidRDefault="000A1224" w:rsidP="0016304F">
      <w:pPr>
        <w:spacing w:after="0"/>
        <w:rPr>
          <w:i/>
          <w:iCs/>
        </w:rPr>
      </w:pPr>
      <w:r w:rsidRPr="0077606A">
        <w:t xml:space="preserve">This </w:t>
      </w:r>
      <w:r w:rsidR="00C57C03" w:rsidRPr="0077606A">
        <w:t>is the most</w:t>
      </w:r>
      <w:r w:rsidRPr="0077606A">
        <w:t xml:space="preserve"> </w:t>
      </w:r>
      <w:r w:rsidR="003C2610" w:rsidRPr="0077606A">
        <w:t>reliable</w:t>
      </w:r>
      <w:r w:rsidRPr="0077606A">
        <w:t xml:space="preserve"> measure but it is important to note that indicators of unemployment are presented as </w:t>
      </w:r>
      <w:r w:rsidRPr="00286B5C">
        <w:rPr>
          <w:i/>
        </w:rPr>
        <w:t>a proportion of the population who are economically active</w:t>
      </w:r>
      <w:r w:rsidRPr="0077606A">
        <w:t xml:space="preserve"> (not of the</w:t>
      </w:r>
      <w:r w:rsidR="00C57C03" w:rsidRPr="0077606A">
        <w:t xml:space="preserve"> whole working age population)</w:t>
      </w:r>
      <w:r w:rsidR="003C2610" w:rsidRPr="0077606A">
        <w:t xml:space="preserve"> and that the age group includes younger people</w:t>
      </w:r>
      <w:r w:rsidR="00C57C03" w:rsidRPr="0077606A">
        <w:t>.</w:t>
      </w:r>
      <w:r w:rsidR="003C2610" w:rsidRPr="0077606A">
        <w:t xml:space="preserve"> The SILC sample and definition indicate</w:t>
      </w:r>
      <w:r w:rsidR="00B962BF">
        <w:t>s</w:t>
      </w:r>
      <w:r w:rsidR="003C2610" w:rsidRPr="0077606A">
        <w:t xml:space="preserve"> a rise in disabled people’s unemployment up to 2013 while the LFS indicate</w:t>
      </w:r>
      <w:r w:rsidR="00B962BF">
        <w:t>s</w:t>
      </w:r>
      <w:r w:rsidR="003C2610" w:rsidRPr="0077606A">
        <w:t xml:space="preserve"> a fall since 2013.</w:t>
      </w:r>
    </w:p>
    <w:p w14:paraId="01150A1C" w14:textId="77777777" w:rsidR="00082E6D" w:rsidRPr="0077606A" w:rsidRDefault="00082E6D" w:rsidP="0016304F">
      <w:pPr>
        <w:spacing w:after="0"/>
      </w:pPr>
    </w:p>
    <w:p w14:paraId="1F317A8A" w14:textId="77777777" w:rsidR="008A5AB7" w:rsidRDefault="00561FF5" w:rsidP="0016304F">
      <w:pPr>
        <w:pStyle w:val="Heading3"/>
      </w:pPr>
      <w:bookmarkStart w:id="7" w:name="_Toc511056636"/>
      <w:r w:rsidRPr="0077606A">
        <w:t>Economic activity</w:t>
      </w:r>
      <w:bookmarkEnd w:id="7"/>
    </w:p>
    <w:p w14:paraId="4836B39C" w14:textId="77777777" w:rsidR="0077606A" w:rsidRPr="0077606A" w:rsidRDefault="0077606A" w:rsidP="0016304F">
      <w:pPr>
        <w:spacing w:after="0"/>
      </w:pPr>
    </w:p>
    <w:p w14:paraId="04B9DF57"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9</w:t>
      </w:r>
      <w:r w:rsidR="0016304F">
        <w:rPr>
          <w:noProof/>
        </w:rPr>
        <w:fldChar w:fldCharType="end"/>
      </w:r>
      <w:r>
        <w:rPr>
          <w:noProof/>
        </w:rPr>
        <w:t>: Most</w:t>
      </w:r>
      <w:r w:rsidRPr="00763664">
        <w:rPr>
          <w:noProof/>
        </w:rPr>
        <w:t xml:space="preserve"> </w:t>
      </w:r>
      <w:r>
        <w:rPr>
          <w:noProof/>
        </w:rPr>
        <w:t>recent economic activty</w:t>
      </w:r>
      <w:r w:rsidRPr="00763664">
        <w:rPr>
          <w:noProof/>
        </w:rPr>
        <w:t xml:space="preserve"> </w:t>
      </w:r>
      <w:r>
        <w:rPr>
          <w:noProof/>
        </w:rPr>
        <w:t>data, aged 20-64</w:t>
      </w:r>
    </w:p>
    <w:p w14:paraId="69B9C074" w14:textId="77777777" w:rsidR="00404D1C" w:rsidRDefault="00404D1C" w:rsidP="0016304F">
      <w:pPr>
        <w:spacing w:after="0"/>
      </w:pPr>
      <w:r>
        <w:rPr>
          <w:noProof/>
          <w:lang w:eastAsia="en-GB"/>
        </w:rPr>
        <w:drawing>
          <wp:inline distT="0" distB="0" distL="0" distR="0" wp14:anchorId="255C6917" wp14:editId="65385FF6">
            <wp:extent cx="5583044" cy="2594517"/>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1916A8"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0F8E3DE0" w14:textId="77777777" w:rsidR="0016304F" w:rsidRDefault="0016304F" w:rsidP="0016304F">
      <w:pPr>
        <w:pStyle w:val="Caption"/>
      </w:pPr>
    </w:p>
    <w:p w14:paraId="4C770DBB" w14:textId="77777777" w:rsidR="0016304F" w:rsidRDefault="0016304F">
      <w:pPr>
        <w:spacing w:after="0"/>
        <w:rPr>
          <w:b/>
          <w:bCs/>
          <w:szCs w:val="18"/>
        </w:rPr>
      </w:pPr>
      <w:r>
        <w:br w:type="page"/>
      </w:r>
    </w:p>
    <w:p w14:paraId="5B86EFD0" w14:textId="3FEB99C6" w:rsidR="00404D1C" w:rsidRDefault="00404D1C" w:rsidP="0016304F">
      <w:pPr>
        <w:pStyle w:val="Caption"/>
      </w:pPr>
      <w:r>
        <w:lastRenderedPageBreak/>
        <w:t xml:space="preserve">Table </w:t>
      </w:r>
      <w:r w:rsidR="0016304F">
        <w:fldChar w:fldCharType="begin"/>
      </w:r>
      <w:r w:rsidR="0016304F">
        <w:instrText xml:space="preserve"> SEQ Table \* ARABIC </w:instrText>
      </w:r>
      <w:r w:rsidR="0016304F">
        <w:fldChar w:fldCharType="separate"/>
      </w:r>
      <w:r>
        <w:rPr>
          <w:noProof/>
        </w:rPr>
        <w:t>10</w:t>
      </w:r>
      <w:r w:rsidR="0016304F">
        <w:rPr>
          <w:noProof/>
        </w:rPr>
        <w:fldChar w:fldCharType="end"/>
      </w:r>
      <w:r>
        <w:t>: Activity rate data, by age group</w:t>
      </w:r>
    </w:p>
    <w:p w14:paraId="62AAF506" w14:textId="77777777" w:rsidR="00404D1C" w:rsidRDefault="00404D1C" w:rsidP="0016304F">
      <w:pPr>
        <w:spacing w:after="0"/>
        <w:rPr>
          <w:sz w:val="20"/>
          <w:szCs w:val="20"/>
        </w:rPr>
      </w:pPr>
      <w:r>
        <w:rPr>
          <w:noProof/>
          <w:lang w:eastAsia="en-GB"/>
        </w:rPr>
        <w:drawing>
          <wp:inline distT="0" distB="0" distL="0" distR="0" wp14:anchorId="3EC63A95" wp14:editId="55C23447">
            <wp:extent cx="5583044" cy="2668858"/>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86C7B0" w14:textId="558B629C"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5F52D5EF" w14:textId="77777777" w:rsidR="0016304F" w:rsidRDefault="0016304F" w:rsidP="0016304F">
      <w:pPr>
        <w:pStyle w:val="Sourcereference"/>
        <w:rPr>
          <w:lang w:eastAsia="en-GB"/>
        </w:rPr>
      </w:pPr>
    </w:p>
    <w:p w14:paraId="59589B11" w14:textId="77777777" w:rsidR="00404D1C" w:rsidRDefault="00404D1C" w:rsidP="0016304F">
      <w:pPr>
        <w:pStyle w:val="Caption"/>
        <w:keepNext/>
      </w:pPr>
      <w:r>
        <w:t xml:space="preserve">Table </w:t>
      </w:r>
      <w:r w:rsidR="0016304F">
        <w:fldChar w:fldCharType="begin"/>
      </w:r>
      <w:r w:rsidR="0016304F">
        <w:instrText xml:space="preserve"> SEQ Table \* ARABIC </w:instrText>
      </w:r>
      <w:r w:rsidR="0016304F">
        <w:fldChar w:fldCharType="separate"/>
      </w:r>
      <w:r>
        <w:rPr>
          <w:noProof/>
        </w:rPr>
        <w:t>11</w:t>
      </w:r>
      <w:r w:rsidR="0016304F">
        <w:rPr>
          <w:noProof/>
        </w:rPr>
        <w:fldChar w:fldCharType="end"/>
      </w:r>
      <w:r>
        <w:t>: Trends in activity rates by gender and disability (aged 20-64)</w:t>
      </w:r>
    </w:p>
    <w:p w14:paraId="3741CAE5" w14:textId="77777777" w:rsidR="00404D1C" w:rsidRDefault="00404D1C" w:rsidP="0016304F">
      <w:pPr>
        <w:spacing w:after="0"/>
      </w:pPr>
      <w:r>
        <w:rPr>
          <w:noProof/>
          <w:lang w:eastAsia="en-GB"/>
        </w:rPr>
        <w:drawing>
          <wp:inline distT="0" distB="0" distL="0" distR="0" wp14:anchorId="165C72F1" wp14:editId="73B257A5">
            <wp:extent cx="5486400" cy="46386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688C55" w14:textId="59FCE0B3" w:rsidR="00DF1931" w:rsidRDefault="00404D1C" w:rsidP="0016304F">
      <w:pPr>
        <w:spacing w:after="0"/>
        <w:rPr>
          <w:i/>
          <w:sz w:val="20"/>
          <w:szCs w:val="20"/>
        </w:rPr>
      </w:pPr>
      <w:r w:rsidRPr="009718E4">
        <w:rPr>
          <w:i/>
          <w:sz w:val="20"/>
          <w:szCs w:val="20"/>
        </w:rPr>
        <w:t xml:space="preserve">Source: </w:t>
      </w:r>
      <w:r w:rsidRPr="009718E4">
        <w:rPr>
          <w:i/>
          <w:sz w:val="20"/>
          <w:szCs w:val="20"/>
          <w:lang w:eastAsia="en-GB"/>
        </w:rPr>
        <w:t>EUSILC UDB 2015 – version of October 2017 (and preceding UDBs</w:t>
      </w:r>
      <w:r w:rsidR="00DF1931" w:rsidRPr="00404D1C">
        <w:rPr>
          <w:i/>
          <w:sz w:val="20"/>
          <w:szCs w:val="20"/>
        </w:rPr>
        <w:t>)</w:t>
      </w:r>
    </w:p>
    <w:p w14:paraId="55450A18" w14:textId="77777777" w:rsidR="0016304F" w:rsidRPr="00404D1C" w:rsidRDefault="0016304F" w:rsidP="0016304F">
      <w:pPr>
        <w:spacing w:after="0"/>
        <w:rPr>
          <w:i/>
          <w:sz w:val="20"/>
          <w:szCs w:val="20"/>
        </w:rPr>
      </w:pPr>
    </w:p>
    <w:p w14:paraId="4CEF20A2" w14:textId="77777777" w:rsidR="0066278F" w:rsidRDefault="0066278F" w:rsidP="0016304F">
      <w:pPr>
        <w:pStyle w:val="Un-numberedsubheading"/>
        <w:spacing w:after="0"/>
      </w:pPr>
      <w:r w:rsidRPr="0077606A">
        <w:lastRenderedPageBreak/>
        <w:t xml:space="preserve">Alternative data on disability and </w:t>
      </w:r>
      <w:r w:rsidR="00ED4CF4" w:rsidRPr="0077606A">
        <w:t>economic activity</w:t>
      </w:r>
      <w:r w:rsidRPr="0077606A">
        <w:t xml:space="preserve"> </w:t>
      </w:r>
      <w:r w:rsidR="00803568" w:rsidRPr="0077606A">
        <w:t>provided by the national expert</w:t>
      </w:r>
      <w:r w:rsidRPr="0077606A">
        <w:t>:</w:t>
      </w:r>
    </w:p>
    <w:p w14:paraId="0CC3D094" w14:textId="77777777" w:rsidR="0077606A" w:rsidRPr="0077606A" w:rsidRDefault="0077606A" w:rsidP="0016304F">
      <w:pPr>
        <w:pStyle w:val="Un-numberedsubheading"/>
        <w:spacing w:after="0"/>
      </w:pPr>
    </w:p>
    <w:p w14:paraId="4F257C8E" w14:textId="6A35B9D7" w:rsidR="00757E74" w:rsidRPr="0077606A" w:rsidRDefault="00757E74" w:rsidP="0016304F">
      <w:pPr>
        <w:spacing w:after="0"/>
      </w:pPr>
      <w:r w:rsidRPr="0077606A">
        <w:t xml:space="preserve">Using the same LFS data and official statistics defined for employment and unemployment </w:t>
      </w:r>
      <w:r w:rsidR="000B4AB7" w:rsidRPr="0077606A">
        <w:t>national</w:t>
      </w:r>
      <w:r w:rsidRPr="0077606A">
        <w:t xml:space="preserve"> indicators of economic </w:t>
      </w:r>
      <w:r w:rsidR="003C2610" w:rsidRPr="0077606A">
        <w:t>‘</w:t>
      </w:r>
      <w:r w:rsidR="000B4AB7" w:rsidRPr="0077606A">
        <w:t>inactivity</w:t>
      </w:r>
      <w:r w:rsidR="003C2610" w:rsidRPr="0077606A">
        <w:t>’</w:t>
      </w:r>
      <w:r w:rsidR="000B4AB7" w:rsidRPr="0077606A">
        <w:t xml:space="preserve"> (the inverse of </w:t>
      </w:r>
      <w:r w:rsidR="003C2610" w:rsidRPr="0077606A">
        <w:t>‘</w:t>
      </w:r>
      <w:r w:rsidR="000B4AB7" w:rsidRPr="0077606A">
        <w:t>activity</w:t>
      </w:r>
      <w:r w:rsidR="003C2610" w:rsidRPr="0077606A">
        <w:t>’</w:t>
      </w:r>
      <w:r w:rsidR="000B4AB7" w:rsidRPr="0077606A">
        <w:t>)</w:t>
      </w:r>
      <w:r w:rsidR="00FC5BD1">
        <w:t xml:space="preserve"> were reported in the </w:t>
      </w:r>
      <w:r w:rsidRPr="0077606A">
        <w:rPr>
          <w:i/>
        </w:rPr>
        <w:t>Progress Report 2014</w:t>
      </w:r>
      <w:r w:rsidRPr="0077606A">
        <w:t xml:space="preserve"> supporting the disability strategy </w:t>
      </w:r>
      <w:r w:rsidR="00FC5BD1">
        <w:t>(</w:t>
      </w:r>
      <w:r w:rsidRPr="0077606A">
        <w:t>Table 2.21</w:t>
      </w:r>
      <w:r w:rsidR="00FC5BD1">
        <w:t>, not since updated</w:t>
      </w:r>
      <w:r w:rsidR="007D321E" w:rsidRPr="0077606A">
        <w:t>)</w:t>
      </w:r>
      <w:r w:rsidRPr="0077606A">
        <w:t>.</w:t>
      </w:r>
      <w:r w:rsidR="007D321E" w:rsidRPr="0077606A">
        <w:rPr>
          <w:rStyle w:val="FootnoteReference"/>
        </w:rPr>
        <w:footnoteReference w:id="22"/>
      </w:r>
      <w:r w:rsidRPr="0077606A">
        <w:t xml:space="preserve"> </w:t>
      </w:r>
    </w:p>
    <w:p w14:paraId="1F5DDDE4" w14:textId="77777777" w:rsidR="0077606A" w:rsidRPr="0077606A" w:rsidRDefault="0077606A" w:rsidP="0016304F">
      <w:pPr>
        <w:spacing w:after="0"/>
        <w:rPr>
          <w:i/>
        </w:rPr>
      </w:pPr>
    </w:p>
    <w:p w14:paraId="6F1630BE" w14:textId="44F288DF" w:rsidR="000B4AB7" w:rsidRDefault="000B4AB7" w:rsidP="0016304F">
      <w:pPr>
        <w:spacing w:after="0"/>
      </w:pPr>
      <w:r w:rsidRPr="0077606A">
        <w:t xml:space="preserve">The ONS quarterly release on the </w:t>
      </w:r>
      <w:r w:rsidRPr="0077606A">
        <w:rPr>
          <w:i/>
        </w:rPr>
        <w:t>Labour market status of disabled people</w:t>
      </w:r>
      <w:r w:rsidRPr="0077606A">
        <w:t xml:space="preserve"> </w:t>
      </w:r>
      <w:r w:rsidR="003C2610" w:rsidRPr="0077606A">
        <w:t xml:space="preserve">does </w:t>
      </w:r>
      <w:r w:rsidRPr="0077606A">
        <w:t xml:space="preserve">include estimates of economic </w:t>
      </w:r>
      <w:r w:rsidR="003C2610" w:rsidRPr="0077606A">
        <w:t>‘</w:t>
      </w:r>
      <w:r w:rsidRPr="0077606A">
        <w:t>activity</w:t>
      </w:r>
      <w:r w:rsidR="003C2610" w:rsidRPr="0077606A">
        <w:t>’</w:t>
      </w:r>
      <w:r w:rsidRPr="0077606A">
        <w:t xml:space="preserve"> for the age group 16-64, and disaggregated by gender (based on the </w:t>
      </w:r>
      <w:r w:rsidR="00021E8C">
        <w:t xml:space="preserve">harmonised </w:t>
      </w:r>
      <w:r w:rsidR="003C2610" w:rsidRPr="0077606A">
        <w:t xml:space="preserve">methodology </w:t>
      </w:r>
      <w:r w:rsidRPr="0077606A">
        <w:t>since 2013).</w:t>
      </w:r>
      <w:r w:rsidR="001A1474" w:rsidRPr="0077606A">
        <w:rPr>
          <w:rStyle w:val="FootnoteReference"/>
        </w:rPr>
        <w:footnoteReference w:id="23"/>
      </w:r>
      <w:r w:rsidR="00CC06B6" w:rsidRPr="00CC06B6">
        <w:rPr>
          <w:iCs/>
        </w:rPr>
        <w:t xml:space="preserve"> </w:t>
      </w:r>
      <w:r w:rsidR="00CC06B6" w:rsidRPr="0077606A">
        <w:rPr>
          <w:iCs/>
        </w:rPr>
        <w:t xml:space="preserve">These </w:t>
      </w:r>
      <w:r w:rsidR="00CC06B6">
        <w:rPr>
          <w:iCs/>
        </w:rPr>
        <w:t>data</w:t>
      </w:r>
      <w:r w:rsidR="00CC06B6" w:rsidRPr="0077606A">
        <w:rPr>
          <w:iCs/>
        </w:rPr>
        <w:t xml:space="preserve"> </w:t>
      </w:r>
      <w:r w:rsidR="00CC06B6">
        <w:rPr>
          <w:iCs/>
        </w:rPr>
        <w:t>are</w:t>
      </w:r>
      <w:r w:rsidR="00CC06B6" w:rsidRPr="0077606A">
        <w:rPr>
          <w:iCs/>
        </w:rPr>
        <w:t xml:space="preserve"> closely comparable with the EU-SILC estimates, but for the age group 16-64, while the SILC data relate to those aged 20-64.</w:t>
      </w:r>
    </w:p>
    <w:p w14:paraId="4158DCB7" w14:textId="77777777" w:rsidR="0077606A" w:rsidRPr="0077606A" w:rsidRDefault="0077606A" w:rsidP="0016304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06"/>
        <w:gridCol w:w="2006"/>
        <w:gridCol w:w="2007"/>
        <w:gridCol w:w="1218"/>
      </w:tblGrid>
      <w:tr w:rsidR="0024672E" w:rsidRPr="0077606A" w14:paraId="7D2A69AB" w14:textId="77777777" w:rsidTr="0024672E">
        <w:tc>
          <w:tcPr>
            <w:tcW w:w="5000" w:type="pct"/>
            <w:gridSpan w:val="5"/>
            <w:shd w:val="clear" w:color="auto" w:fill="auto"/>
          </w:tcPr>
          <w:p w14:paraId="09181D58" w14:textId="77777777" w:rsidR="0024672E" w:rsidRPr="0077606A" w:rsidRDefault="0024672E" w:rsidP="0016304F">
            <w:pPr>
              <w:spacing w:after="0"/>
              <w:rPr>
                <w:b/>
                <w:bCs/>
              </w:rPr>
            </w:pPr>
            <w:r w:rsidRPr="0077606A">
              <w:rPr>
                <w:b/>
                <w:bCs/>
              </w:rPr>
              <w:t>Reported economic activity rates of disabled men and women aged 16-64</w:t>
            </w:r>
          </w:p>
        </w:tc>
      </w:tr>
      <w:tr w:rsidR="0024672E" w:rsidRPr="0077606A" w14:paraId="48EF5108" w14:textId="77777777" w:rsidTr="0024672E">
        <w:tc>
          <w:tcPr>
            <w:tcW w:w="1085" w:type="pct"/>
            <w:shd w:val="clear" w:color="auto" w:fill="auto"/>
          </w:tcPr>
          <w:p w14:paraId="5F24C7DF" w14:textId="77777777" w:rsidR="0024672E" w:rsidRPr="0077606A" w:rsidRDefault="0024672E" w:rsidP="0016304F">
            <w:pPr>
              <w:spacing w:after="0"/>
              <w:rPr>
                <w:b/>
                <w:bCs/>
              </w:rPr>
            </w:pPr>
          </w:p>
        </w:tc>
        <w:tc>
          <w:tcPr>
            <w:tcW w:w="1085" w:type="pct"/>
          </w:tcPr>
          <w:p w14:paraId="21148E81" w14:textId="77777777" w:rsidR="0024672E" w:rsidRPr="0077606A" w:rsidRDefault="0024672E" w:rsidP="0016304F">
            <w:pPr>
              <w:spacing w:after="0"/>
              <w:rPr>
                <w:b/>
                <w:bCs/>
              </w:rPr>
            </w:pPr>
            <w:r w:rsidRPr="0077606A">
              <w:rPr>
                <w:b/>
                <w:bCs/>
              </w:rPr>
              <w:t>Non-disabled Men and Women</w:t>
            </w:r>
          </w:p>
        </w:tc>
        <w:tc>
          <w:tcPr>
            <w:tcW w:w="1085" w:type="pct"/>
            <w:shd w:val="clear" w:color="auto" w:fill="auto"/>
          </w:tcPr>
          <w:p w14:paraId="2CABB232" w14:textId="77777777" w:rsidR="0024672E" w:rsidRPr="0077606A" w:rsidRDefault="0024672E" w:rsidP="0016304F">
            <w:pPr>
              <w:spacing w:after="0"/>
            </w:pPr>
            <w:r w:rsidRPr="0077606A">
              <w:rPr>
                <w:b/>
                <w:bCs/>
              </w:rPr>
              <w:t>Disabled Men and Women</w:t>
            </w:r>
          </w:p>
        </w:tc>
        <w:tc>
          <w:tcPr>
            <w:tcW w:w="1086" w:type="pct"/>
            <w:shd w:val="clear" w:color="auto" w:fill="auto"/>
          </w:tcPr>
          <w:p w14:paraId="51DFFF01" w14:textId="77777777" w:rsidR="0024672E" w:rsidRPr="0077606A" w:rsidRDefault="0024672E" w:rsidP="0016304F">
            <w:pPr>
              <w:spacing w:after="0"/>
              <w:rPr>
                <w:b/>
                <w:bCs/>
              </w:rPr>
            </w:pPr>
            <w:r w:rsidRPr="0077606A">
              <w:rPr>
                <w:b/>
                <w:bCs/>
              </w:rPr>
              <w:t>Disabled men</w:t>
            </w:r>
          </w:p>
        </w:tc>
        <w:tc>
          <w:tcPr>
            <w:tcW w:w="658" w:type="pct"/>
            <w:shd w:val="clear" w:color="auto" w:fill="auto"/>
          </w:tcPr>
          <w:p w14:paraId="1946B736" w14:textId="77777777" w:rsidR="0024672E" w:rsidRPr="0077606A" w:rsidRDefault="0024672E" w:rsidP="0016304F">
            <w:pPr>
              <w:spacing w:after="0"/>
              <w:rPr>
                <w:b/>
                <w:bCs/>
              </w:rPr>
            </w:pPr>
            <w:r w:rsidRPr="0077606A">
              <w:rPr>
                <w:b/>
                <w:bCs/>
              </w:rPr>
              <w:t>Disabled women</w:t>
            </w:r>
          </w:p>
        </w:tc>
      </w:tr>
      <w:tr w:rsidR="0024672E" w:rsidRPr="0077606A" w14:paraId="7074D702" w14:textId="77777777" w:rsidTr="0024672E">
        <w:tc>
          <w:tcPr>
            <w:tcW w:w="1085" w:type="pct"/>
            <w:shd w:val="clear" w:color="auto" w:fill="auto"/>
          </w:tcPr>
          <w:p w14:paraId="20048583" w14:textId="77777777" w:rsidR="0024672E" w:rsidRPr="0077606A" w:rsidRDefault="0024672E" w:rsidP="0016304F">
            <w:pPr>
              <w:spacing w:after="0"/>
              <w:rPr>
                <w:b/>
                <w:bCs/>
              </w:rPr>
            </w:pPr>
            <w:r w:rsidRPr="0077606A">
              <w:rPr>
                <w:b/>
                <w:bCs/>
              </w:rPr>
              <w:t>Apr-Jun 2013</w:t>
            </w:r>
          </w:p>
        </w:tc>
        <w:tc>
          <w:tcPr>
            <w:tcW w:w="1085" w:type="pct"/>
          </w:tcPr>
          <w:p w14:paraId="6882B1C1" w14:textId="2779B53F" w:rsidR="0024672E" w:rsidRPr="0077606A" w:rsidRDefault="00021E8C" w:rsidP="0016304F">
            <w:pPr>
              <w:spacing w:after="0"/>
            </w:pPr>
            <w:r>
              <w:t>82.7</w:t>
            </w:r>
            <w:r w:rsidR="0024672E" w:rsidRPr="0077606A">
              <w:t>%</w:t>
            </w:r>
          </w:p>
        </w:tc>
        <w:tc>
          <w:tcPr>
            <w:tcW w:w="1085" w:type="pct"/>
            <w:shd w:val="clear" w:color="auto" w:fill="auto"/>
          </w:tcPr>
          <w:p w14:paraId="78EA17AB" w14:textId="77777777" w:rsidR="0024672E" w:rsidRPr="0077606A" w:rsidRDefault="0024672E" w:rsidP="0016304F">
            <w:pPr>
              <w:spacing w:after="0"/>
            </w:pPr>
            <w:r w:rsidRPr="0077606A">
              <w:t>50.5%</w:t>
            </w:r>
          </w:p>
        </w:tc>
        <w:tc>
          <w:tcPr>
            <w:tcW w:w="1086" w:type="pct"/>
            <w:shd w:val="clear" w:color="auto" w:fill="auto"/>
          </w:tcPr>
          <w:p w14:paraId="479B042A" w14:textId="77777777" w:rsidR="0024672E" w:rsidRPr="0077606A" w:rsidRDefault="0024672E" w:rsidP="0016304F">
            <w:pPr>
              <w:spacing w:after="0"/>
            </w:pPr>
            <w:r w:rsidRPr="0077606A">
              <w:t>53.7%</w:t>
            </w:r>
          </w:p>
        </w:tc>
        <w:tc>
          <w:tcPr>
            <w:tcW w:w="658" w:type="pct"/>
            <w:shd w:val="clear" w:color="auto" w:fill="auto"/>
          </w:tcPr>
          <w:p w14:paraId="20FBA1A4" w14:textId="77777777" w:rsidR="0024672E" w:rsidRPr="0077606A" w:rsidRDefault="0024672E" w:rsidP="0016304F">
            <w:pPr>
              <w:spacing w:after="0"/>
            </w:pPr>
            <w:r w:rsidRPr="0077606A">
              <w:t>47.8%</w:t>
            </w:r>
          </w:p>
        </w:tc>
      </w:tr>
      <w:tr w:rsidR="0024672E" w:rsidRPr="0077606A" w14:paraId="33EE4C0F" w14:textId="77777777" w:rsidTr="0024672E">
        <w:tc>
          <w:tcPr>
            <w:tcW w:w="1085" w:type="pct"/>
            <w:shd w:val="clear" w:color="auto" w:fill="auto"/>
          </w:tcPr>
          <w:p w14:paraId="4D695E0A" w14:textId="77777777" w:rsidR="0024672E" w:rsidRPr="0077606A" w:rsidRDefault="0024672E" w:rsidP="0016304F">
            <w:pPr>
              <w:spacing w:after="0"/>
              <w:rPr>
                <w:b/>
                <w:bCs/>
              </w:rPr>
            </w:pPr>
            <w:r w:rsidRPr="0077606A">
              <w:rPr>
                <w:b/>
                <w:bCs/>
              </w:rPr>
              <w:t>Apr-Jun 2014</w:t>
            </w:r>
          </w:p>
        </w:tc>
        <w:tc>
          <w:tcPr>
            <w:tcW w:w="1085" w:type="pct"/>
          </w:tcPr>
          <w:p w14:paraId="5E497847" w14:textId="032AEA63" w:rsidR="0024672E" w:rsidRPr="0077606A" w:rsidRDefault="0024672E" w:rsidP="0016304F">
            <w:pPr>
              <w:spacing w:after="0"/>
            </w:pPr>
            <w:r w:rsidRPr="0077606A">
              <w:t>83.</w:t>
            </w:r>
            <w:r w:rsidR="00021E8C">
              <w:t>0</w:t>
            </w:r>
            <w:r w:rsidRPr="0077606A">
              <w:t>%</w:t>
            </w:r>
          </w:p>
        </w:tc>
        <w:tc>
          <w:tcPr>
            <w:tcW w:w="1085" w:type="pct"/>
            <w:shd w:val="clear" w:color="auto" w:fill="auto"/>
          </w:tcPr>
          <w:p w14:paraId="4398230B" w14:textId="77777777" w:rsidR="0024672E" w:rsidRPr="0077606A" w:rsidRDefault="0024672E" w:rsidP="0016304F">
            <w:pPr>
              <w:spacing w:after="0"/>
            </w:pPr>
            <w:r w:rsidRPr="0077606A">
              <w:t>51.4%</w:t>
            </w:r>
          </w:p>
        </w:tc>
        <w:tc>
          <w:tcPr>
            <w:tcW w:w="1086" w:type="pct"/>
            <w:shd w:val="clear" w:color="auto" w:fill="auto"/>
          </w:tcPr>
          <w:p w14:paraId="3E854260" w14:textId="206E89CB" w:rsidR="0024672E" w:rsidRPr="0077606A" w:rsidRDefault="0024672E" w:rsidP="0016304F">
            <w:pPr>
              <w:spacing w:after="0"/>
            </w:pPr>
            <w:r w:rsidRPr="0077606A">
              <w:t>54.</w:t>
            </w:r>
            <w:r w:rsidR="00021E8C">
              <w:t>6</w:t>
            </w:r>
            <w:r w:rsidRPr="0077606A">
              <w:t>%</w:t>
            </w:r>
          </w:p>
        </w:tc>
        <w:tc>
          <w:tcPr>
            <w:tcW w:w="658" w:type="pct"/>
            <w:shd w:val="clear" w:color="auto" w:fill="auto"/>
          </w:tcPr>
          <w:p w14:paraId="19502D80" w14:textId="77777777" w:rsidR="0024672E" w:rsidRPr="0077606A" w:rsidRDefault="0024672E" w:rsidP="0016304F">
            <w:pPr>
              <w:spacing w:after="0"/>
            </w:pPr>
            <w:r w:rsidRPr="0077606A">
              <w:t>48.9%</w:t>
            </w:r>
          </w:p>
        </w:tc>
      </w:tr>
      <w:tr w:rsidR="0024672E" w:rsidRPr="0077606A" w14:paraId="485F0DE0" w14:textId="77777777" w:rsidTr="0024672E">
        <w:tc>
          <w:tcPr>
            <w:tcW w:w="1085" w:type="pct"/>
            <w:shd w:val="clear" w:color="auto" w:fill="auto"/>
          </w:tcPr>
          <w:p w14:paraId="57E8BD01" w14:textId="77777777" w:rsidR="0024672E" w:rsidRPr="0077606A" w:rsidRDefault="0024672E" w:rsidP="0016304F">
            <w:pPr>
              <w:spacing w:after="0"/>
              <w:rPr>
                <w:b/>
                <w:bCs/>
              </w:rPr>
            </w:pPr>
            <w:r w:rsidRPr="0077606A">
              <w:rPr>
                <w:b/>
                <w:bCs/>
              </w:rPr>
              <w:t>Apr-Jun 2015</w:t>
            </w:r>
          </w:p>
        </w:tc>
        <w:tc>
          <w:tcPr>
            <w:tcW w:w="1085" w:type="pct"/>
          </w:tcPr>
          <w:p w14:paraId="16A7BC3D" w14:textId="4BA90292" w:rsidR="0024672E" w:rsidRPr="0077606A" w:rsidRDefault="0024672E" w:rsidP="0016304F">
            <w:pPr>
              <w:spacing w:after="0"/>
            </w:pPr>
            <w:r w:rsidRPr="0077606A">
              <w:t>83.</w:t>
            </w:r>
            <w:r w:rsidR="00021E8C">
              <w:t>2</w:t>
            </w:r>
            <w:r w:rsidRPr="0077606A">
              <w:t>%</w:t>
            </w:r>
          </w:p>
        </w:tc>
        <w:tc>
          <w:tcPr>
            <w:tcW w:w="1085" w:type="pct"/>
            <w:shd w:val="clear" w:color="auto" w:fill="auto"/>
          </w:tcPr>
          <w:p w14:paraId="3BED20B7" w14:textId="77777777" w:rsidR="0024672E" w:rsidRPr="0077606A" w:rsidRDefault="0024672E" w:rsidP="0016304F">
            <w:pPr>
              <w:spacing w:after="0"/>
            </w:pPr>
            <w:r w:rsidRPr="0077606A">
              <w:t>51.9%</w:t>
            </w:r>
          </w:p>
        </w:tc>
        <w:tc>
          <w:tcPr>
            <w:tcW w:w="1086" w:type="pct"/>
            <w:shd w:val="clear" w:color="auto" w:fill="auto"/>
          </w:tcPr>
          <w:p w14:paraId="130CDAEF" w14:textId="77777777" w:rsidR="0024672E" w:rsidRPr="0077606A" w:rsidRDefault="0024672E" w:rsidP="0016304F">
            <w:pPr>
              <w:spacing w:after="0"/>
            </w:pPr>
            <w:r w:rsidRPr="0077606A">
              <w:t>55.2%</w:t>
            </w:r>
          </w:p>
        </w:tc>
        <w:tc>
          <w:tcPr>
            <w:tcW w:w="658" w:type="pct"/>
            <w:shd w:val="clear" w:color="auto" w:fill="auto"/>
          </w:tcPr>
          <w:p w14:paraId="6F37BD1E" w14:textId="77777777" w:rsidR="0024672E" w:rsidRPr="0077606A" w:rsidRDefault="0024672E" w:rsidP="0016304F">
            <w:pPr>
              <w:spacing w:after="0"/>
            </w:pPr>
            <w:r w:rsidRPr="0077606A">
              <w:t>49.3%</w:t>
            </w:r>
          </w:p>
        </w:tc>
      </w:tr>
      <w:tr w:rsidR="00021E8C" w:rsidRPr="0077606A" w14:paraId="3C73ADEA" w14:textId="77777777" w:rsidTr="0024672E">
        <w:tc>
          <w:tcPr>
            <w:tcW w:w="1085" w:type="pct"/>
            <w:shd w:val="clear" w:color="auto" w:fill="auto"/>
          </w:tcPr>
          <w:p w14:paraId="01A42C76" w14:textId="77777777" w:rsidR="00021E8C" w:rsidRPr="0077606A" w:rsidRDefault="00021E8C" w:rsidP="0016304F">
            <w:pPr>
              <w:spacing w:after="0"/>
              <w:rPr>
                <w:b/>
                <w:bCs/>
              </w:rPr>
            </w:pPr>
            <w:r>
              <w:rPr>
                <w:b/>
                <w:bCs/>
              </w:rPr>
              <w:t>Apr-Jun 2016</w:t>
            </w:r>
          </w:p>
        </w:tc>
        <w:tc>
          <w:tcPr>
            <w:tcW w:w="1085" w:type="pct"/>
          </w:tcPr>
          <w:p w14:paraId="124A556E" w14:textId="77777777" w:rsidR="00021E8C" w:rsidRPr="0077606A" w:rsidRDefault="00021E8C" w:rsidP="0016304F">
            <w:pPr>
              <w:spacing w:after="0"/>
            </w:pPr>
            <w:r>
              <w:t>83.7%</w:t>
            </w:r>
          </w:p>
        </w:tc>
        <w:tc>
          <w:tcPr>
            <w:tcW w:w="1085" w:type="pct"/>
            <w:shd w:val="clear" w:color="auto" w:fill="auto"/>
          </w:tcPr>
          <w:p w14:paraId="48BC1708" w14:textId="77777777" w:rsidR="00021E8C" w:rsidRPr="0077606A" w:rsidRDefault="00021E8C" w:rsidP="0016304F">
            <w:pPr>
              <w:spacing w:after="0"/>
            </w:pPr>
            <w:r>
              <w:t>53.2%</w:t>
            </w:r>
          </w:p>
        </w:tc>
        <w:tc>
          <w:tcPr>
            <w:tcW w:w="1086" w:type="pct"/>
            <w:shd w:val="clear" w:color="auto" w:fill="auto"/>
          </w:tcPr>
          <w:p w14:paraId="72CC6A7A" w14:textId="77777777" w:rsidR="00021E8C" w:rsidRPr="0077606A" w:rsidRDefault="00021E8C" w:rsidP="0016304F">
            <w:pPr>
              <w:spacing w:after="0"/>
            </w:pPr>
            <w:r>
              <w:t>55.8%</w:t>
            </w:r>
          </w:p>
        </w:tc>
        <w:tc>
          <w:tcPr>
            <w:tcW w:w="658" w:type="pct"/>
            <w:shd w:val="clear" w:color="auto" w:fill="auto"/>
          </w:tcPr>
          <w:p w14:paraId="271DC74D" w14:textId="77777777" w:rsidR="00021E8C" w:rsidRPr="0077606A" w:rsidRDefault="00021E8C" w:rsidP="0016304F">
            <w:pPr>
              <w:spacing w:after="0"/>
            </w:pPr>
            <w:r>
              <w:t>51.3%</w:t>
            </w:r>
          </w:p>
        </w:tc>
      </w:tr>
    </w:tbl>
    <w:p w14:paraId="3CE3B4C9" w14:textId="358E08EF" w:rsidR="000B4AB7" w:rsidRPr="0016304F" w:rsidRDefault="000B4AB7" w:rsidP="0016304F">
      <w:pPr>
        <w:spacing w:after="0"/>
        <w:rPr>
          <w:i/>
          <w:iCs/>
        </w:rPr>
      </w:pPr>
      <w:r w:rsidRPr="0016304F">
        <w:rPr>
          <w:i/>
          <w:iCs/>
        </w:rPr>
        <w:t>Adapted from Table A08: Labour market status of disabled people, 1</w:t>
      </w:r>
      <w:r w:rsidR="00293F47" w:rsidRPr="0016304F">
        <w:rPr>
          <w:i/>
          <w:iCs/>
        </w:rPr>
        <w:t>6</w:t>
      </w:r>
      <w:r w:rsidRPr="0016304F">
        <w:rPr>
          <w:i/>
          <w:iCs/>
        </w:rPr>
        <w:t xml:space="preserve"> August 201</w:t>
      </w:r>
      <w:r w:rsidR="00293F47" w:rsidRPr="0016304F">
        <w:rPr>
          <w:i/>
          <w:iCs/>
        </w:rPr>
        <w:t>7</w:t>
      </w:r>
      <w:r w:rsidRPr="0016304F">
        <w:rPr>
          <w:i/>
          <w:iCs/>
        </w:rPr>
        <w:t xml:space="preserve"> (Source: LFS, using the </w:t>
      </w:r>
      <w:r w:rsidR="00021E8C" w:rsidRPr="0016304F">
        <w:rPr>
          <w:i/>
          <w:iCs/>
        </w:rPr>
        <w:t>Harmonised Standard</w:t>
      </w:r>
      <w:r w:rsidRPr="0016304F">
        <w:rPr>
          <w:i/>
          <w:iCs/>
        </w:rPr>
        <w:t xml:space="preserve"> </w:t>
      </w:r>
      <w:r w:rsidR="00021E8C" w:rsidRPr="0016304F">
        <w:rPr>
          <w:i/>
          <w:iCs/>
        </w:rPr>
        <w:t xml:space="preserve">disability </w:t>
      </w:r>
      <w:r w:rsidRPr="0016304F">
        <w:rPr>
          <w:i/>
          <w:iCs/>
        </w:rPr>
        <w:t>definition)</w:t>
      </w:r>
    </w:p>
    <w:p w14:paraId="069B6781" w14:textId="77777777" w:rsidR="0077606A" w:rsidRPr="0077606A" w:rsidRDefault="0077606A" w:rsidP="0016304F">
      <w:pPr>
        <w:spacing w:after="0"/>
        <w:rPr>
          <w:i/>
          <w:iCs/>
        </w:rPr>
      </w:pPr>
    </w:p>
    <w:p w14:paraId="056A68B2" w14:textId="31FD0251" w:rsidR="0024672E" w:rsidRPr="0077606A" w:rsidRDefault="007833A3" w:rsidP="0016304F">
      <w:pPr>
        <w:spacing w:after="0"/>
      </w:pPr>
      <w:r w:rsidRPr="0077606A">
        <w:t>The</w:t>
      </w:r>
      <w:r w:rsidR="0024672E" w:rsidRPr="0077606A">
        <w:t xml:space="preserve"> </w:t>
      </w:r>
      <w:r w:rsidR="00344ECE" w:rsidRPr="0077606A">
        <w:t xml:space="preserve">ONS </w:t>
      </w:r>
      <w:r w:rsidR="0024672E" w:rsidRPr="0077606A">
        <w:t xml:space="preserve">quarterly statistical release provides the most </w:t>
      </w:r>
      <w:r w:rsidRPr="0077606A">
        <w:t xml:space="preserve">reliable and </w:t>
      </w:r>
      <w:r w:rsidR="0024672E" w:rsidRPr="0077606A">
        <w:t xml:space="preserve">up to date </w:t>
      </w:r>
      <w:r w:rsidRPr="0077606A">
        <w:t xml:space="preserve">national </w:t>
      </w:r>
      <w:r w:rsidR="003C2610" w:rsidRPr="0077606A">
        <w:t xml:space="preserve">disability </w:t>
      </w:r>
      <w:r w:rsidR="00CC06B6">
        <w:t>estimates</w:t>
      </w:r>
      <w:r w:rsidR="0024672E" w:rsidRPr="0077606A">
        <w:t>, disaggregated by gender</w:t>
      </w:r>
      <w:r w:rsidRPr="0077606A">
        <w:t xml:space="preserve"> and with comparisons to non-disabled people, using a rather similar question methodology to EU-SILC</w:t>
      </w:r>
      <w:r w:rsidR="0024672E" w:rsidRPr="0077606A">
        <w:t>.</w:t>
      </w:r>
      <w:r w:rsidR="003C2610" w:rsidRPr="0077606A">
        <w:t xml:space="preserve"> These could be easily </w:t>
      </w:r>
      <w:r w:rsidR="00CC06B6">
        <w:t>adapted</w:t>
      </w:r>
      <w:r w:rsidR="00CC06B6" w:rsidRPr="0077606A">
        <w:t xml:space="preserve"> </w:t>
      </w:r>
      <w:r w:rsidR="003C2610" w:rsidRPr="0077606A">
        <w:t>to shadow the EU-SILC age range from a disability perspective.</w:t>
      </w:r>
    </w:p>
    <w:p w14:paraId="5E3F18DA" w14:textId="77777777" w:rsidR="00834272" w:rsidRPr="0077606A" w:rsidRDefault="00834272" w:rsidP="0016304F">
      <w:pPr>
        <w:spacing w:after="0"/>
      </w:pPr>
    </w:p>
    <w:p w14:paraId="35A95922" w14:textId="77777777" w:rsidR="000E59E4" w:rsidRDefault="00BF6032" w:rsidP="0016304F">
      <w:pPr>
        <w:pStyle w:val="Heading2"/>
        <w:spacing w:after="0"/>
        <w:rPr>
          <w:szCs w:val="24"/>
        </w:rPr>
      </w:pPr>
      <w:bookmarkStart w:id="8" w:name="_Toc511056637"/>
      <w:r w:rsidRPr="0077606A">
        <w:rPr>
          <w:szCs w:val="24"/>
        </w:rPr>
        <w:t>Education</w:t>
      </w:r>
      <w:r w:rsidR="00D939BF" w:rsidRPr="0077606A">
        <w:rPr>
          <w:szCs w:val="24"/>
        </w:rPr>
        <w:t xml:space="preserve"> data</w:t>
      </w:r>
      <w:bookmarkEnd w:id="8"/>
    </w:p>
    <w:p w14:paraId="3CCD4372" w14:textId="77777777" w:rsidR="0077606A" w:rsidRPr="0077606A" w:rsidRDefault="0077606A" w:rsidP="0016304F">
      <w:pPr>
        <w:spacing w:after="0"/>
      </w:pPr>
    </w:p>
    <w:p w14:paraId="507FFF91" w14:textId="4818962E" w:rsidR="00404D1C" w:rsidRDefault="00404D1C" w:rsidP="0016304F">
      <w:pPr>
        <w:pStyle w:val="BodyText"/>
        <w:spacing w:after="0"/>
      </w:pPr>
      <w:r>
        <w:t xml:space="preserve">EU statistical comparisons are more limited concerning the education of young disabled women and men in the EU2020 target age groups. Data is available from EU-SILC (annually) as well as the </w:t>
      </w:r>
      <w:r w:rsidRPr="005A3FC7">
        <w:t xml:space="preserve">Eurostat Labour Force Survey ad-hoc </w:t>
      </w:r>
      <w:r>
        <w:t xml:space="preserve">disability </w:t>
      </w:r>
      <w:r w:rsidRPr="005A3FC7">
        <w:t>module</w:t>
      </w:r>
      <w:r>
        <w:t xml:space="preserve"> (for 2011), but with low reliability for several countries on the key measures.</w:t>
      </w:r>
      <w:r>
        <w:rPr>
          <w:rStyle w:val="FootnoteReference"/>
        </w:rPr>
        <w:footnoteReference w:id="24"/>
      </w:r>
      <w:r>
        <w:t xml:space="preserve"> Using a wider age range can improve reliability but estimations by gender remain indicative. EU trends are evident but administrative data may offer </w:t>
      </w:r>
      <w:r>
        <w:lastRenderedPageBreak/>
        <w:t>more reliable alternatives to identify national trends, where available. C</w:t>
      </w:r>
      <w:r w:rsidRPr="00C762B6">
        <w:t xml:space="preserve">onfidence intervals for </w:t>
      </w:r>
      <w:r>
        <w:t xml:space="preserve">the </w:t>
      </w:r>
      <w:r w:rsidRPr="00C762B6">
        <w:t xml:space="preserve">disability group are </w:t>
      </w:r>
      <w:r>
        <w:t>wide on both indicators</w:t>
      </w:r>
      <w:r w:rsidRPr="00C762B6">
        <w:t xml:space="preserve"> </w:t>
      </w:r>
      <w:r>
        <w:t>at the national level</w:t>
      </w:r>
      <w:r w:rsidRPr="00C762B6">
        <w:t xml:space="preserve"> </w:t>
      </w:r>
      <w:r>
        <w:t>but reliable at the EU level. A</w:t>
      </w:r>
      <w:r w:rsidRPr="00C762B6">
        <w:t xml:space="preserve">n average </w:t>
      </w:r>
      <w:r>
        <w:t>over</w:t>
      </w:r>
      <w:r w:rsidRPr="00C762B6">
        <w:t xml:space="preserve"> several years</w:t>
      </w:r>
      <w:r>
        <w:t xml:space="preserve"> may provide a more robust national indication</w:t>
      </w:r>
      <w:r w:rsidRPr="00C762B6">
        <w:t>.</w:t>
      </w:r>
    </w:p>
    <w:p w14:paraId="72462C23" w14:textId="77777777" w:rsidR="00B77F7D" w:rsidRDefault="00B77F7D" w:rsidP="0016304F">
      <w:pPr>
        <w:pStyle w:val="BodyText"/>
        <w:spacing w:after="0"/>
      </w:pPr>
    </w:p>
    <w:p w14:paraId="597C32F1" w14:textId="6BDAB28E" w:rsidR="00404D1C" w:rsidRDefault="00404D1C" w:rsidP="0016304F">
      <w:pPr>
        <w:pStyle w:val="BodyText"/>
        <w:spacing w:after="0"/>
      </w:pPr>
      <w:r>
        <w:t xml:space="preserve">There was also a </w:t>
      </w:r>
      <w:r w:rsidRPr="00025E6E">
        <w:t xml:space="preserve">change from ISCED 1997 to ISCED 2011 </w:t>
      </w:r>
      <w:r>
        <w:t xml:space="preserve">qualification </w:t>
      </w:r>
      <w:r w:rsidRPr="00025E6E">
        <w:t xml:space="preserve">definitions in 2014 </w:t>
      </w:r>
      <w:r>
        <w:t>although some Member States continued to use the older definition in 2015.</w:t>
      </w:r>
    </w:p>
    <w:p w14:paraId="4000E1C1" w14:textId="77777777" w:rsidR="00B77F7D" w:rsidRDefault="00B77F7D" w:rsidP="0016304F">
      <w:pPr>
        <w:pStyle w:val="BodyText"/>
        <w:spacing w:after="0"/>
      </w:pPr>
    </w:p>
    <w:p w14:paraId="0CBB3C84" w14:textId="77777777" w:rsidR="00404D1C" w:rsidRDefault="00404D1C" w:rsidP="0016304F">
      <w:pPr>
        <w:pStyle w:val="Heading3"/>
        <w:ind w:left="851" w:hanging="851"/>
      </w:pPr>
      <w:bookmarkStart w:id="9" w:name="_Toc429999639"/>
      <w:bookmarkStart w:id="10" w:name="_Toc511056638"/>
      <w:r>
        <w:t>Early school leavers</w:t>
      </w:r>
      <w:bookmarkEnd w:id="9"/>
      <w:bookmarkEnd w:id="10"/>
    </w:p>
    <w:p w14:paraId="475C2064" w14:textId="77777777" w:rsidR="00B77F7D" w:rsidRDefault="00B77F7D" w:rsidP="0016304F">
      <w:pPr>
        <w:pStyle w:val="BodyText"/>
        <w:spacing w:after="0"/>
      </w:pPr>
    </w:p>
    <w:p w14:paraId="060D5C30" w14:textId="10B33DF2" w:rsidR="00404D1C" w:rsidRDefault="00404D1C" w:rsidP="0016304F">
      <w:pPr>
        <w:pStyle w:val="BodyText"/>
        <w:spacing w:after="0"/>
      </w:pPr>
      <w:r>
        <w:t>The EU-SILC sample for the target age group (aged 18-24) includes the following number of people reporting activity ‘limitation’ (as a proxy for impairment/disability).</w:t>
      </w:r>
    </w:p>
    <w:p w14:paraId="499654CF"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12</w:t>
      </w:r>
      <w:r w:rsidR="0016304F">
        <w:rPr>
          <w:noProof/>
        </w:rPr>
        <w:fldChar w:fldCharType="end"/>
      </w:r>
      <w:r>
        <w:t>: EU-SILC sample size in the target age group 18-24 versus 18-29</w:t>
      </w:r>
    </w:p>
    <w:tbl>
      <w:tblPr>
        <w:tblStyle w:val="TableGrid"/>
        <w:tblW w:w="0" w:type="auto"/>
        <w:tblLook w:val="04A0" w:firstRow="1" w:lastRow="0" w:firstColumn="1" w:lastColumn="0" w:noHBand="0" w:noVBand="1"/>
      </w:tblPr>
      <w:tblGrid>
        <w:gridCol w:w="1710"/>
        <w:gridCol w:w="2020"/>
        <w:gridCol w:w="1746"/>
        <w:gridCol w:w="2020"/>
        <w:gridCol w:w="1746"/>
      </w:tblGrid>
      <w:tr w:rsidR="00404D1C" w:rsidRPr="00226093" w14:paraId="098642EE" w14:textId="77777777" w:rsidTr="0056154D">
        <w:tc>
          <w:tcPr>
            <w:tcW w:w="0" w:type="auto"/>
          </w:tcPr>
          <w:p w14:paraId="27406BF5" w14:textId="77777777" w:rsidR="00404D1C" w:rsidRPr="00226093" w:rsidRDefault="00404D1C" w:rsidP="0016304F">
            <w:pPr>
              <w:spacing w:after="0"/>
              <w:rPr>
                <w:b/>
                <w:sz w:val="20"/>
                <w:szCs w:val="20"/>
              </w:rPr>
            </w:pPr>
          </w:p>
        </w:tc>
        <w:tc>
          <w:tcPr>
            <w:tcW w:w="0" w:type="auto"/>
            <w:gridSpan w:val="2"/>
          </w:tcPr>
          <w:p w14:paraId="6D7A58EA" w14:textId="77777777" w:rsidR="00404D1C" w:rsidRPr="00226093" w:rsidRDefault="00404D1C" w:rsidP="0016304F">
            <w:pPr>
              <w:spacing w:after="0"/>
              <w:jc w:val="center"/>
              <w:rPr>
                <w:b/>
                <w:sz w:val="20"/>
                <w:szCs w:val="20"/>
              </w:rPr>
            </w:pPr>
            <w:r w:rsidRPr="00226093">
              <w:rPr>
                <w:b/>
                <w:sz w:val="20"/>
                <w:szCs w:val="20"/>
              </w:rPr>
              <w:t>Age 18-24</w:t>
            </w:r>
          </w:p>
        </w:tc>
        <w:tc>
          <w:tcPr>
            <w:tcW w:w="0" w:type="auto"/>
            <w:gridSpan w:val="2"/>
          </w:tcPr>
          <w:p w14:paraId="09B1EAB8" w14:textId="77777777" w:rsidR="00404D1C" w:rsidRPr="00226093" w:rsidRDefault="00404D1C" w:rsidP="0016304F">
            <w:pPr>
              <w:spacing w:after="0"/>
              <w:jc w:val="center"/>
              <w:rPr>
                <w:b/>
                <w:sz w:val="20"/>
                <w:szCs w:val="20"/>
              </w:rPr>
            </w:pPr>
            <w:r w:rsidRPr="00226093">
              <w:rPr>
                <w:b/>
                <w:sz w:val="20"/>
                <w:szCs w:val="20"/>
              </w:rPr>
              <w:t>Age 18-29</w:t>
            </w:r>
          </w:p>
        </w:tc>
      </w:tr>
      <w:tr w:rsidR="00404D1C" w:rsidRPr="00226093" w14:paraId="730C472B" w14:textId="77777777" w:rsidTr="0056154D">
        <w:tc>
          <w:tcPr>
            <w:tcW w:w="0" w:type="auto"/>
          </w:tcPr>
          <w:p w14:paraId="7EC24CC5" w14:textId="77777777" w:rsidR="00404D1C" w:rsidRPr="00226093" w:rsidRDefault="00404D1C" w:rsidP="0016304F">
            <w:pPr>
              <w:spacing w:after="0"/>
              <w:rPr>
                <w:b/>
                <w:sz w:val="20"/>
                <w:szCs w:val="20"/>
              </w:rPr>
            </w:pPr>
          </w:p>
        </w:tc>
        <w:tc>
          <w:tcPr>
            <w:tcW w:w="0" w:type="auto"/>
          </w:tcPr>
          <w:p w14:paraId="7F081720" w14:textId="77777777" w:rsidR="00404D1C" w:rsidRPr="00226093" w:rsidRDefault="00404D1C" w:rsidP="0016304F">
            <w:pPr>
              <w:spacing w:after="0"/>
              <w:rPr>
                <w:sz w:val="20"/>
                <w:szCs w:val="20"/>
              </w:rPr>
            </w:pPr>
            <w:r w:rsidRPr="00226093">
              <w:rPr>
                <w:sz w:val="20"/>
                <w:szCs w:val="20"/>
              </w:rPr>
              <w:t>No activity ‘limitation’</w:t>
            </w:r>
          </w:p>
        </w:tc>
        <w:tc>
          <w:tcPr>
            <w:tcW w:w="0" w:type="auto"/>
          </w:tcPr>
          <w:p w14:paraId="746C26AD" w14:textId="77777777" w:rsidR="00404D1C" w:rsidRPr="00226093" w:rsidRDefault="00404D1C" w:rsidP="0016304F">
            <w:pPr>
              <w:spacing w:after="0"/>
              <w:rPr>
                <w:sz w:val="20"/>
                <w:szCs w:val="20"/>
              </w:rPr>
            </w:pPr>
            <w:r w:rsidRPr="00226093">
              <w:rPr>
                <w:sz w:val="20"/>
                <w:szCs w:val="20"/>
              </w:rPr>
              <w:t>Activity ‘limitation’</w:t>
            </w:r>
          </w:p>
        </w:tc>
        <w:tc>
          <w:tcPr>
            <w:tcW w:w="0" w:type="auto"/>
          </w:tcPr>
          <w:p w14:paraId="7414A505" w14:textId="77777777" w:rsidR="00404D1C" w:rsidRPr="00226093" w:rsidRDefault="00404D1C" w:rsidP="0016304F">
            <w:pPr>
              <w:spacing w:after="0"/>
              <w:rPr>
                <w:sz w:val="20"/>
                <w:szCs w:val="20"/>
              </w:rPr>
            </w:pPr>
            <w:r w:rsidRPr="00226093">
              <w:rPr>
                <w:sz w:val="20"/>
                <w:szCs w:val="20"/>
              </w:rPr>
              <w:t>No activity ‘limitation’</w:t>
            </w:r>
          </w:p>
        </w:tc>
        <w:tc>
          <w:tcPr>
            <w:tcW w:w="0" w:type="auto"/>
          </w:tcPr>
          <w:p w14:paraId="570B997D" w14:textId="77777777" w:rsidR="00404D1C" w:rsidRPr="00226093" w:rsidRDefault="00404D1C" w:rsidP="0016304F">
            <w:pPr>
              <w:spacing w:after="0"/>
              <w:rPr>
                <w:sz w:val="20"/>
                <w:szCs w:val="20"/>
              </w:rPr>
            </w:pPr>
            <w:r w:rsidRPr="00226093">
              <w:rPr>
                <w:sz w:val="20"/>
                <w:szCs w:val="20"/>
              </w:rPr>
              <w:t>Activity ‘limitation’</w:t>
            </w:r>
          </w:p>
        </w:tc>
      </w:tr>
      <w:tr w:rsidR="00404D1C" w:rsidRPr="00226093" w14:paraId="52E0E41D" w14:textId="77777777" w:rsidTr="0056154D">
        <w:tc>
          <w:tcPr>
            <w:tcW w:w="0" w:type="auto"/>
          </w:tcPr>
          <w:p w14:paraId="39133901" w14:textId="77777777" w:rsidR="00404D1C" w:rsidRPr="00226093" w:rsidRDefault="00404D1C" w:rsidP="0016304F">
            <w:pPr>
              <w:spacing w:after="0"/>
              <w:rPr>
                <w:b/>
                <w:sz w:val="20"/>
                <w:szCs w:val="20"/>
              </w:rPr>
            </w:pPr>
            <w:r w:rsidRPr="00226093">
              <w:rPr>
                <w:b/>
                <w:sz w:val="20"/>
                <w:szCs w:val="20"/>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7EA2EC" w14:textId="77777777" w:rsidR="00404D1C" w:rsidRPr="00226093" w:rsidRDefault="00404D1C" w:rsidP="0016304F">
            <w:pPr>
              <w:spacing w:after="0"/>
              <w:jc w:val="right"/>
              <w:rPr>
                <w:sz w:val="20"/>
                <w:szCs w:val="20"/>
              </w:rPr>
            </w:pPr>
            <w:r>
              <w:rPr>
                <w:rFonts w:ascii="Calibri" w:hAnsi="Calibri"/>
                <w:color w:val="000000"/>
                <w:sz w:val="22"/>
                <w:szCs w:val="22"/>
              </w:rPr>
              <w:t>32,733</w:t>
            </w:r>
          </w:p>
        </w:tc>
        <w:tc>
          <w:tcPr>
            <w:tcW w:w="0" w:type="auto"/>
            <w:tcBorders>
              <w:top w:val="single" w:sz="4" w:space="0" w:color="auto"/>
              <w:left w:val="nil"/>
              <w:bottom w:val="single" w:sz="4" w:space="0" w:color="auto"/>
              <w:right w:val="single" w:sz="4" w:space="0" w:color="auto"/>
            </w:tcBorders>
            <w:shd w:val="clear" w:color="auto" w:fill="auto"/>
            <w:vAlign w:val="bottom"/>
          </w:tcPr>
          <w:p w14:paraId="623CFD1E" w14:textId="77777777" w:rsidR="00404D1C" w:rsidRPr="00226093" w:rsidRDefault="00404D1C" w:rsidP="0016304F">
            <w:pPr>
              <w:spacing w:after="0"/>
              <w:jc w:val="right"/>
              <w:rPr>
                <w:sz w:val="20"/>
                <w:szCs w:val="20"/>
              </w:rPr>
            </w:pPr>
            <w:r>
              <w:rPr>
                <w:rFonts w:ascii="Calibri" w:hAnsi="Calibri"/>
                <w:color w:val="000000"/>
                <w:sz w:val="22"/>
                <w:szCs w:val="22"/>
              </w:rPr>
              <w:t>2,673</w:t>
            </w:r>
          </w:p>
        </w:tc>
        <w:tc>
          <w:tcPr>
            <w:tcW w:w="0" w:type="auto"/>
            <w:tcBorders>
              <w:top w:val="single" w:sz="4" w:space="0" w:color="auto"/>
              <w:left w:val="nil"/>
              <w:bottom w:val="single" w:sz="4" w:space="0" w:color="auto"/>
              <w:right w:val="single" w:sz="4" w:space="0" w:color="auto"/>
            </w:tcBorders>
            <w:shd w:val="clear" w:color="auto" w:fill="auto"/>
            <w:vAlign w:val="bottom"/>
          </w:tcPr>
          <w:p w14:paraId="58C74961" w14:textId="77777777" w:rsidR="00404D1C" w:rsidRPr="00226093" w:rsidRDefault="00404D1C" w:rsidP="0016304F">
            <w:pPr>
              <w:spacing w:after="0"/>
              <w:jc w:val="right"/>
              <w:rPr>
                <w:sz w:val="20"/>
                <w:szCs w:val="20"/>
              </w:rPr>
            </w:pPr>
            <w:r>
              <w:rPr>
                <w:rFonts w:ascii="Calibri" w:hAnsi="Calibri"/>
                <w:color w:val="000000"/>
                <w:sz w:val="22"/>
                <w:szCs w:val="22"/>
              </w:rPr>
              <w:t>54,418</w:t>
            </w:r>
          </w:p>
        </w:tc>
        <w:tc>
          <w:tcPr>
            <w:tcW w:w="0" w:type="auto"/>
            <w:tcBorders>
              <w:top w:val="single" w:sz="4" w:space="0" w:color="auto"/>
              <w:left w:val="nil"/>
              <w:bottom w:val="single" w:sz="4" w:space="0" w:color="auto"/>
              <w:right w:val="single" w:sz="4" w:space="0" w:color="auto"/>
            </w:tcBorders>
            <w:shd w:val="clear" w:color="auto" w:fill="auto"/>
            <w:vAlign w:val="bottom"/>
          </w:tcPr>
          <w:p w14:paraId="7056F423" w14:textId="77777777" w:rsidR="00404D1C" w:rsidRPr="00226093" w:rsidRDefault="00404D1C" w:rsidP="0016304F">
            <w:pPr>
              <w:spacing w:after="0"/>
              <w:jc w:val="right"/>
              <w:rPr>
                <w:sz w:val="20"/>
                <w:szCs w:val="20"/>
              </w:rPr>
            </w:pPr>
            <w:r>
              <w:rPr>
                <w:rFonts w:ascii="Calibri" w:hAnsi="Calibri"/>
                <w:color w:val="000000"/>
                <w:sz w:val="22"/>
                <w:szCs w:val="22"/>
              </w:rPr>
              <w:t>4,840</w:t>
            </w:r>
          </w:p>
        </w:tc>
      </w:tr>
      <w:tr w:rsidR="00404D1C" w:rsidRPr="00226093" w14:paraId="1DF16693" w14:textId="77777777" w:rsidTr="0056154D">
        <w:tc>
          <w:tcPr>
            <w:tcW w:w="0" w:type="auto"/>
          </w:tcPr>
          <w:p w14:paraId="189C210D" w14:textId="77777777" w:rsidR="00404D1C" w:rsidRPr="00226093" w:rsidRDefault="00404D1C" w:rsidP="0016304F">
            <w:pPr>
              <w:spacing w:after="0"/>
              <w:rPr>
                <w:b/>
                <w:sz w:val="20"/>
                <w:szCs w:val="20"/>
              </w:rPr>
            </w:pPr>
            <w:r w:rsidRPr="00226093">
              <w:rPr>
                <w:b/>
                <w:sz w:val="20"/>
                <w:szCs w:val="20"/>
              </w:rPr>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8ACB482" w14:textId="77777777" w:rsidR="00404D1C" w:rsidRPr="00226093" w:rsidRDefault="00404D1C" w:rsidP="0016304F">
            <w:pPr>
              <w:spacing w:after="0"/>
              <w:jc w:val="right"/>
              <w:rPr>
                <w:sz w:val="20"/>
                <w:szCs w:val="20"/>
              </w:rPr>
            </w:pPr>
            <w:r>
              <w:rPr>
                <w:rFonts w:ascii="Calibri" w:hAnsi="Calibri"/>
                <w:color w:val="000000"/>
                <w:sz w:val="22"/>
                <w:szCs w:val="22"/>
              </w:rPr>
              <w:t>1,254</w:t>
            </w:r>
          </w:p>
        </w:tc>
        <w:tc>
          <w:tcPr>
            <w:tcW w:w="0" w:type="auto"/>
            <w:tcBorders>
              <w:top w:val="single" w:sz="4" w:space="0" w:color="auto"/>
              <w:left w:val="nil"/>
              <w:bottom w:val="single" w:sz="4" w:space="0" w:color="auto"/>
              <w:right w:val="single" w:sz="4" w:space="0" w:color="auto"/>
            </w:tcBorders>
            <w:shd w:val="clear" w:color="auto" w:fill="auto"/>
            <w:vAlign w:val="bottom"/>
          </w:tcPr>
          <w:p w14:paraId="5495AF53" w14:textId="77777777" w:rsidR="00404D1C" w:rsidRPr="00226093" w:rsidRDefault="00404D1C" w:rsidP="0016304F">
            <w:pPr>
              <w:spacing w:after="0"/>
              <w:jc w:val="right"/>
              <w:rPr>
                <w:sz w:val="20"/>
                <w:szCs w:val="20"/>
              </w:rPr>
            </w:pPr>
            <w:r>
              <w:rPr>
                <w:rFonts w:ascii="Calibri" w:hAnsi="Calibri"/>
                <w:color w:val="000000"/>
                <w:sz w:val="22"/>
                <w:szCs w:val="22"/>
              </w:rPr>
              <w:t>149</w:t>
            </w:r>
          </w:p>
        </w:tc>
        <w:tc>
          <w:tcPr>
            <w:tcW w:w="0" w:type="auto"/>
            <w:tcBorders>
              <w:top w:val="single" w:sz="4" w:space="0" w:color="auto"/>
              <w:left w:val="nil"/>
              <w:bottom w:val="single" w:sz="4" w:space="0" w:color="auto"/>
              <w:right w:val="single" w:sz="4" w:space="0" w:color="auto"/>
            </w:tcBorders>
            <w:shd w:val="clear" w:color="auto" w:fill="auto"/>
            <w:vAlign w:val="bottom"/>
          </w:tcPr>
          <w:p w14:paraId="0D73E3AA" w14:textId="77777777" w:rsidR="00404D1C" w:rsidRPr="00226093" w:rsidRDefault="00404D1C" w:rsidP="0016304F">
            <w:pPr>
              <w:spacing w:after="0"/>
              <w:jc w:val="right"/>
              <w:rPr>
                <w:sz w:val="20"/>
                <w:szCs w:val="20"/>
              </w:rPr>
            </w:pPr>
            <w:r>
              <w:rPr>
                <w:rFonts w:ascii="Calibri" w:hAnsi="Calibri"/>
                <w:color w:val="000000"/>
                <w:sz w:val="22"/>
                <w:szCs w:val="22"/>
              </w:rPr>
              <w:t>2,218</w:t>
            </w:r>
          </w:p>
        </w:tc>
        <w:tc>
          <w:tcPr>
            <w:tcW w:w="0" w:type="auto"/>
            <w:tcBorders>
              <w:top w:val="single" w:sz="4" w:space="0" w:color="auto"/>
              <w:left w:val="nil"/>
              <w:bottom w:val="single" w:sz="4" w:space="0" w:color="auto"/>
              <w:right w:val="single" w:sz="4" w:space="0" w:color="auto"/>
            </w:tcBorders>
            <w:shd w:val="clear" w:color="auto" w:fill="auto"/>
            <w:vAlign w:val="bottom"/>
          </w:tcPr>
          <w:p w14:paraId="31F1A270" w14:textId="77777777" w:rsidR="00404D1C" w:rsidRPr="00226093" w:rsidRDefault="00404D1C" w:rsidP="0016304F">
            <w:pPr>
              <w:spacing w:after="0"/>
              <w:jc w:val="right"/>
              <w:rPr>
                <w:sz w:val="20"/>
                <w:szCs w:val="20"/>
              </w:rPr>
            </w:pPr>
            <w:r>
              <w:rPr>
                <w:rFonts w:ascii="Calibri" w:hAnsi="Calibri"/>
                <w:color w:val="000000"/>
                <w:sz w:val="22"/>
                <w:szCs w:val="22"/>
              </w:rPr>
              <w:t>289</w:t>
            </w:r>
          </w:p>
        </w:tc>
      </w:tr>
    </w:tbl>
    <w:p w14:paraId="50F8DE9B" w14:textId="77777777" w:rsidR="00404D1C" w:rsidRPr="005831C6" w:rsidRDefault="00404D1C" w:rsidP="0016304F">
      <w:pPr>
        <w:pStyle w:val="Sourcereference"/>
        <w:rPr>
          <w:lang w:eastAsia="en-GB"/>
        </w:rPr>
      </w:pPr>
      <w:r w:rsidRPr="005831C6">
        <w:t xml:space="preserve">Source: </w:t>
      </w:r>
      <w:r w:rsidRPr="005831C6">
        <w:rPr>
          <w:lang w:eastAsia="en-GB"/>
        </w:rPr>
        <w:t xml:space="preserve">EUSILC UDB </w:t>
      </w:r>
      <w:r>
        <w:rPr>
          <w:lang w:eastAsia="en-GB"/>
        </w:rPr>
        <w:t>2015</w:t>
      </w:r>
      <w:r w:rsidRPr="005831C6">
        <w:rPr>
          <w:lang w:eastAsia="en-GB"/>
        </w:rPr>
        <w:t xml:space="preserve"> – version </w:t>
      </w:r>
      <w:r>
        <w:rPr>
          <w:lang w:eastAsia="en-GB"/>
        </w:rPr>
        <w:t>of October 2017</w:t>
      </w:r>
    </w:p>
    <w:p w14:paraId="7680CBE7" w14:textId="77777777" w:rsidR="00404D1C" w:rsidRDefault="00404D1C" w:rsidP="0016304F">
      <w:pPr>
        <w:spacing w:after="0"/>
      </w:pPr>
    </w:p>
    <w:p w14:paraId="461B56D4"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13</w:t>
      </w:r>
      <w:r w:rsidR="0016304F">
        <w:rPr>
          <w:noProof/>
        </w:rPr>
        <w:fldChar w:fldCharType="end"/>
      </w:r>
      <w:r>
        <w:t xml:space="preserve">: </w:t>
      </w:r>
      <w:r>
        <w:rPr>
          <w:noProof/>
        </w:rPr>
        <w:t>Early school leavers aged 18-24 (indicative based on above sample size)</w:t>
      </w:r>
    </w:p>
    <w:p w14:paraId="21DECAE0" w14:textId="77777777" w:rsidR="00404D1C" w:rsidRDefault="00404D1C" w:rsidP="0016304F">
      <w:pPr>
        <w:spacing w:after="0"/>
      </w:pPr>
      <w:r>
        <w:rPr>
          <w:noProof/>
          <w:lang w:eastAsia="en-GB"/>
        </w:rPr>
        <w:drawing>
          <wp:inline distT="0" distB="0" distL="0" distR="0" wp14:anchorId="5108734A" wp14:editId="4C3BB1CD">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19AE44"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138AAE4D" w14:textId="2B3581CD" w:rsidR="0077606A" w:rsidRDefault="00404D1C" w:rsidP="0016304F">
      <w:pPr>
        <w:pStyle w:val="Sourcereference"/>
      </w:pPr>
      <w:r>
        <w:rPr>
          <w:lang w:eastAsia="en-GB"/>
        </w:rPr>
        <w:t>Note: The confidence intervals for disability group are large and so the reliability is low. It may be more useful to consider an average of several years</w:t>
      </w:r>
    </w:p>
    <w:p w14:paraId="45BBCF59" w14:textId="77777777" w:rsidR="00404D1C" w:rsidRPr="0077606A" w:rsidRDefault="00404D1C" w:rsidP="0016304F">
      <w:pPr>
        <w:pStyle w:val="Sourcereference"/>
        <w:rPr>
          <w:lang w:eastAsia="en-GB"/>
        </w:rPr>
      </w:pPr>
    </w:p>
    <w:p w14:paraId="4A4D6EA7" w14:textId="77777777" w:rsidR="0077606A" w:rsidRDefault="00AC1131" w:rsidP="0016304F">
      <w:pPr>
        <w:keepNext/>
        <w:spacing w:after="0"/>
        <w:rPr>
          <w:b/>
        </w:rPr>
      </w:pPr>
      <w:r w:rsidRPr="0077606A">
        <w:rPr>
          <w:b/>
        </w:rPr>
        <w:t xml:space="preserve">Alternative data on disability and early school leavers </w:t>
      </w:r>
      <w:r w:rsidR="00803568" w:rsidRPr="0077606A">
        <w:rPr>
          <w:b/>
        </w:rPr>
        <w:t>provided by the national expert</w:t>
      </w:r>
      <w:r w:rsidRPr="0077606A">
        <w:rPr>
          <w:b/>
        </w:rPr>
        <w:t>:</w:t>
      </w:r>
    </w:p>
    <w:p w14:paraId="125733BE" w14:textId="77777777" w:rsidR="00B77F7D" w:rsidRDefault="00B77F7D" w:rsidP="0016304F">
      <w:pPr>
        <w:spacing w:after="0"/>
      </w:pPr>
    </w:p>
    <w:p w14:paraId="2B12A02A" w14:textId="1BBF3B6B" w:rsidR="00E9245F" w:rsidRDefault="003B6506" w:rsidP="0016304F">
      <w:pPr>
        <w:spacing w:after="0"/>
      </w:pPr>
      <w:r w:rsidRPr="00404D1C">
        <w:t>Eurostat defines ‘Early leavers from education and training’ with reference to LFS data</w:t>
      </w:r>
      <w:r w:rsidRPr="00404D1C">
        <w:rPr>
          <w:rStyle w:val="FootnoteReference"/>
        </w:rPr>
        <w:footnoteReference w:id="25"/>
      </w:r>
      <w:r w:rsidRPr="00404D1C">
        <w:t xml:space="preserve"> and, in the UK, this can be disaggregated using the </w:t>
      </w:r>
      <w:r w:rsidR="00E9245F" w:rsidRPr="00404D1C">
        <w:t xml:space="preserve">GSS Harmonised </w:t>
      </w:r>
      <w:r w:rsidR="00293F47" w:rsidRPr="00404D1C">
        <w:t>disability</w:t>
      </w:r>
      <w:r w:rsidRPr="00404D1C">
        <w:t xml:space="preserve"> variable</w:t>
      </w:r>
      <w:r w:rsidR="00847ABA" w:rsidRPr="00404D1C">
        <w:t xml:space="preserve"> in the national LFS</w:t>
      </w:r>
      <w:r w:rsidRPr="00404D1C">
        <w:t>. The second quarter LFS for 201</w:t>
      </w:r>
      <w:r w:rsidR="00293F47" w:rsidRPr="00404D1C">
        <w:t>7</w:t>
      </w:r>
      <w:r w:rsidRPr="00404D1C">
        <w:t xml:space="preserve"> includes </w:t>
      </w:r>
      <w:r w:rsidRPr="00404D1C">
        <w:lastRenderedPageBreak/>
        <w:t xml:space="preserve">data for </w:t>
      </w:r>
      <w:r w:rsidR="00932AC8" w:rsidRPr="00404D1C">
        <w:t xml:space="preserve">757 </w:t>
      </w:r>
      <w:r w:rsidRPr="00404D1C">
        <w:t xml:space="preserve">young disabled people aged 18-24 </w:t>
      </w:r>
      <w:r w:rsidR="00035600" w:rsidRPr="00404D1C">
        <w:t>(</w:t>
      </w:r>
      <w:r w:rsidRPr="00404D1C">
        <w:t xml:space="preserve">from an estimated population </w:t>
      </w:r>
      <w:r w:rsidR="00035600" w:rsidRPr="00404D1C">
        <w:t xml:space="preserve">group </w:t>
      </w:r>
      <w:r w:rsidRPr="00404D1C">
        <w:t xml:space="preserve">of </w:t>
      </w:r>
      <w:r w:rsidR="00932AC8" w:rsidRPr="00404D1C">
        <w:t>700,363</w:t>
      </w:r>
      <w:r w:rsidR="00035600" w:rsidRPr="00404D1C">
        <w:t xml:space="preserve">) </w:t>
      </w:r>
      <w:r w:rsidRPr="00404D1C">
        <w:t xml:space="preserve">compared to </w:t>
      </w:r>
      <w:r w:rsidR="00404D1C" w:rsidRPr="00404D1C">
        <w:t>1</w:t>
      </w:r>
      <w:r w:rsidR="00404D1C" w:rsidRPr="009718E4">
        <w:t>49</w:t>
      </w:r>
      <w:r w:rsidR="00404D1C" w:rsidRPr="00404D1C">
        <w:t xml:space="preserve"> </w:t>
      </w:r>
      <w:r w:rsidRPr="00404D1C">
        <w:t>in the EU-SILC 201</w:t>
      </w:r>
      <w:r w:rsidR="00404D1C" w:rsidRPr="009718E4">
        <w:t>5</w:t>
      </w:r>
      <w:r w:rsidRPr="00404D1C">
        <w:t xml:space="preserve"> sample.</w:t>
      </w:r>
    </w:p>
    <w:p w14:paraId="049747E0" w14:textId="6CAE22E4" w:rsidR="003D757A" w:rsidRPr="0077606A" w:rsidRDefault="003D757A" w:rsidP="0016304F">
      <w:pPr>
        <w:spacing w:after="0"/>
      </w:pPr>
    </w:p>
    <w:p w14:paraId="3AACFCF8" w14:textId="0932854A" w:rsidR="003B6506" w:rsidRDefault="003B6506" w:rsidP="0016304F">
      <w:pPr>
        <w:spacing w:after="0"/>
      </w:pPr>
      <w:r w:rsidRPr="0077606A">
        <w:t>Eurostat’s definition equates to those whose highest qualification is below the UK National Qualification Framework (NQF) Level 2</w:t>
      </w:r>
      <w:r w:rsidRPr="0077606A">
        <w:rPr>
          <w:rStyle w:val="FootnoteReference"/>
        </w:rPr>
        <w:footnoteReference w:id="26"/>
      </w:r>
      <w:r w:rsidRPr="0077606A">
        <w:t xml:space="preserve"> </w:t>
      </w:r>
      <w:r w:rsidR="003D757A" w:rsidRPr="0077606A">
        <w:t xml:space="preserve">and who were </w:t>
      </w:r>
      <w:r w:rsidRPr="0077606A">
        <w:t>not in education or training during the past 4 weeks.</w:t>
      </w:r>
      <w:r w:rsidR="003D757A" w:rsidRPr="0077606A">
        <w:t xml:space="preserve"> </w:t>
      </w:r>
      <w:r w:rsidRPr="0077606A">
        <w:t>The following weighted cross tabulation was derived from the UK Data Service for the purpose of this ANED report and is not an official statistic.</w:t>
      </w:r>
      <w:r w:rsidRPr="0077606A">
        <w:rPr>
          <w:rStyle w:val="FootnoteReference"/>
        </w:rPr>
        <w:footnoteReference w:id="27"/>
      </w:r>
      <w:r w:rsidRPr="0077606A">
        <w:t xml:space="preserve"> On this measure, the risks of early leaving </w:t>
      </w:r>
      <w:r w:rsidR="00B94A21" w:rsidRPr="0077606A">
        <w:t>were</w:t>
      </w:r>
      <w:r w:rsidR="00035600" w:rsidRPr="0077606A">
        <w:t xml:space="preserve"> </w:t>
      </w:r>
      <w:r w:rsidR="009063EE">
        <w:t>15.6</w:t>
      </w:r>
      <w:r w:rsidR="00035600" w:rsidRPr="0077606A">
        <w:t xml:space="preserve">% for disabled young people and </w:t>
      </w:r>
      <w:r w:rsidR="009063EE">
        <w:t>7.8</w:t>
      </w:r>
      <w:r w:rsidR="00035600" w:rsidRPr="0077606A">
        <w:t>% for non-disabled.</w:t>
      </w:r>
      <w:r w:rsidR="00B94A21" w:rsidRPr="0077606A">
        <w:t xml:space="preserve"> The indicated gap is </w:t>
      </w:r>
      <w:r w:rsidR="009063EE">
        <w:t>8</w:t>
      </w:r>
      <w:r w:rsidR="009063EE" w:rsidRPr="0077606A">
        <w:t xml:space="preserve"> </w:t>
      </w:r>
      <w:r w:rsidR="00B94A21" w:rsidRPr="0077606A">
        <w:t>percentage points</w:t>
      </w:r>
      <w:r w:rsidR="003D757A" w:rsidRPr="0077606A">
        <w:t xml:space="preserve"> but </w:t>
      </w:r>
      <w:r w:rsidR="00F56F41" w:rsidRPr="0077606A">
        <w:t xml:space="preserve">it </w:t>
      </w:r>
      <w:r w:rsidR="003D757A" w:rsidRPr="0077606A">
        <w:t>could be higher if the majority of ‘other qualifications’ were found to be lower than Level 2.</w:t>
      </w:r>
    </w:p>
    <w:p w14:paraId="19719076" w14:textId="77777777" w:rsidR="0077606A" w:rsidRPr="0077606A" w:rsidRDefault="0077606A" w:rsidP="0016304F">
      <w:pPr>
        <w:spacing w:after="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756"/>
        <w:gridCol w:w="1438"/>
        <w:gridCol w:w="1438"/>
        <w:gridCol w:w="1438"/>
      </w:tblGrid>
      <w:tr w:rsidR="003B6506" w:rsidRPr="0077606A" w14:paraId="397FE7C3" w14:textId="77777777" w:rsidTr="0064797F">
        <w:trPr>
          <w:trHeight w:val="476"/>
        </w:trPr>
        <w:tc>
          <w:tcPr>
            <w:tcW w:w="9242" w:type="dxa"/>
            <w:gridSpan w:val="5"/>
            <w:shd w:val="clear" w:color="auto" w:fill="auto"/>
            <w:noWrap/>
          </w:tcPr>
          <w:p w14:paraId="34BFB497" w14:textId="72302BEA" w:rsidR="003B6506" w:rsidRPr="0077606A" w:rsidRDefault="003B6506" w:rsidP="0016304F">
            <w:pPr>
              <w:spacing w:after="0"/>
              <w:rPr>
                <w:rFonts w:eastAsia="Times New Roman"/>
                <w:b/>
                <w:bCs/>
                <w:lang w:eastAsia="zh-CN"/>
              </w:rPr>
            </w:pPr>
            <w:r w:rsidRPr="0077606A">
              <w:rPr>
                <w:rFonts w:eastAsia="Times New Roman"/>
                <w:b/>
                <w:bCs/>
                <w:lang w:eastAsia="zh-CN"/>
              </w:rPr>
              <w:t>Highest qualifications of 18-24 year olds not in current education or training (weighted estimates), 201</w:t>
            </w:r>
            <w:r w:rsidR="00435944">
              <w:rPr>
                <w:rFonts w:eastAsia="Times New Roman"/>
                <w:b/>
                <w:bCs/>
                <w:lang w:eastAsia="zh-CN"/>
              </w:rPr>
              <w:t>7</w:t>
            </w:r>
          </w:p>
        </w:tc>
      </w:tr>
      <w:tr w:rsidR="0077606A" w:rsidRPr="0077606A" w14:paraId="69D0CA70" w14:textId="77777777" w:rsidTr="0064797F">
        <w:trPr>
          <w:trHeight w:val="520"/>
        </w:trPr>
        <w:tc>
          <w:tcPr>
            <w:tcW w:w="2172" w:type="dxa"/>
            <w:shd w:val="clear" w:color="auto" w:fill="auto"/>
            <w:noWrap/>
            <w:hideMark/>
          </w:tcPr>
          <w:p w14:paraId="7AEAF4AF" w14:textId="77777777" w:rsidR="003B6506" w:rsidRPr="0077606A" w:rsidRDefault="003B6506" w:rsidP="0016304F">
            <w:pPr>
              <w:spacing w:after="0"/>
              <w:rPr>
                <w:rFonts w:eastAsia="Times New Roman"/>
                <w:b/>
                <w:bCs/>
                <w:lang w:eastAsia="zh-CN"/>
              </w:rPr>
            </w:pPr>
            <w:r w:rsidRPr="0077606A">
              <w:rPr>
                <w:rFonts w:eastAsia="Times New Roman"/>
                <w:b/>
                <w:bCs/>
                <w:lang w:eastAsia="zh-CN"/>
              </w:rPr>
              <w:t>Learning undertaken</w:t>
            </w:r>
          </w:p>
          <w:p w14:paraId="22B9DD67" w14:textId="77777777" w:rsidR="003B6506" w:rsidRPr="0077606A" w:rsidRDefault="003B6506" w:rsidP="0016304F">
            <w:pPr>
              <w:spacing w:after="0"/>
              <w:rPr>
                <w:rFonts w:eastAsia="Times New Roman"/>
                <w:b/>
                <w:bCs/>
                <w:lang w:eastAsia="zh-CN"/>
              </w:rPr>
            </w:pPr>
            <w:r w:rsidRPr="0077606A">
              <w:rPr>
                <w:rFonts w:eastAsia="Times New Roman"/>
                <w:b/>
                <w:bCs/>
                <w:lang w:eastAsia="zh-CN"/>
              </w:rPr>
              <w:t>within the past 4 weeks</w:t>
            </w:r>
          </w:p>
        </w:tc>
        <w:tc>
          <w:tcPr>
            <w:tcW w:w="2756" w:type="dxa"/>
            <w:shd w:val="clear" w:color="auto" w:fill="auto"/>
          </w:tcPr>
          <w:p w14:paraId="4F6F8DC3" w14:textId="77777777" w:rsidR="003B6506" w:rsidRPr="0077606A" w:rsidRDefault="003B6506" w:rsidP="0016304F">
            <w:pPr>
              <w:spacing w:after="0"/>
              <w:rPr>
                <w:rFonts w:eastAsia="Times New Roman"/>
                <w:b/>
                <w:bCs/>
                <w:lang w:eastAsia="zh-CN"/>
              </w:rPr>
            </w:pPr>
            <w:r w:rsidRPr="0077606A">
              <w:rPr>
                <w:rFonts w:eastAsia="Times New Roman"/>
                <w:b/>
                <w:bCs/>
                <w:lang w:eastAsia="zh-CN"/>
              </w:rPr>
              <w:t>Level of highest qualification held</w:t>
            </w:r>
          </w:p>
        </w:tc>
        <w:tc>
          <w:tcPr>
            <w:tcW w:w="1438" w:type="dxa"/>
            <w:shd w:val="clear" w:color="auto" w:fill="auto"/>
            <w:noWrap/>
            <w:hideMark/>
          </w:tcPr>
          <w:p w14:paraId="059E4769" w14:textId="77777777" w:rsidR="003B6506" w:rsidRPr="0077606A" w:rsidRDefault="003B6506" w:rsidP="0016304F">
            <w:pPr>
              <w:spacing w:after="0"/>
              <w:jc w:val="center"/>
              <w:rPr>
                <w:rFonts w:eastAsia="Times New Roman"/>
                <w:lang w:eastAsia="zh-CN"/>
              </w:rPr>
            </w:pPr>
            <w:r w:rsidRPr="0077606A">
              <w:rPr>
                <w:rFonts w:eastAsia="Times New Roman"/>
                <w:lang w:eastAsia="zh-CN"/>
              </w:rPr>
              <w:t>% Disabled</w:t>
            </w:r>
          </w:p>
        </w:tc>
        <w:tc>
          <w:tcPr>
            <w:tcW w:w="1438" w:type="dxa"/>
            <w:shd w:val="clear" w:color="auto" w:fill="auto"/>
            <w:noWrap/>
            <w:hideMark/>
          </w:tcPr>
          <w:p w14:paraId="24264B42" w14:textId="77777777" w:rsidR="003B6506" w:rsidRPr="0077606A" w:rsidRDefault="003B6506" w:rsidP="0016304F">
            <w:pPr>
              <w:spacing w:after="0"/>
              <w:jc w:val="center"/>
              <w:rPr>
                <w:rFonts w:eastAsia="Times New Roman"/>
                <w:lang w:eastAsia="zh-CN"/>
              </w:rPr>
            </w:pPr>
            <w:r w:rsidRPr="0077606A">
              <w:rPr>
                <w:rFonts w:eastAsia="Times New Roman"/>
                <w:lang w:eastAsia="zh-CN"/>
              </w:rPr>
              <w:t>% Not Disabled</w:t>
            </w:r>
          </w:p>
        </w:tc>
        <w:tc>
          <w:tcPr>
            <w:tcW w:w="1438" w:type="dxa"/>
            <w:shd w:val="clear" w:color="auto" w:fill="auto"/>
            <w:noWrap/>
            <w:hideMark/>
          </w:tcPr>
          <w:p w14:paraId="6C21DAB9" w14:textId="77777777" w:rsidR="003B6506" w:rsidRPr="0077606A" w:rsidRDefault="003B6506" w:rsidP="0016304F">
            <w:pPr>
              <w:spacing w:after="0"/>
              <w:jc w:val="center"/>
              <w:rPr>
                <w:rFonts w:eastAsia="Times New Roman"/>
                <w:b/>
                <w:bCs/>
                <w:lang w:eastAsia="zh-CN"/>
              </w:rPr>
            </w:pPr>
            <w:r w:rsidRPr="0077606A">
              <w:rPr>
                <w:rFonts w:eastAsia="Times New Roman"/>
                <w:b/>
                <w:bCs/>
                <w:lang w:eastAsia="zh-CN"/>
              </w:rPr>
              <w:t>% Total</w:t>
            </w:r>
          </w:p>
        </w:tc>
      </w:tr>
      <w:tr w:rsidR="0064797F" w:rsidRPr="0077606A" w14:paraId="76C85471" w14:textId="77777777" w:rsidTr="0064797F">
        <w:trPr>
          <w:trHeight w:val="255"/>
        </w:trPr>
        <w:tc>
          <w:tcPr>
            <w:tcW w:w="2172" w:type="dxa"/>
            <w:shd w:val="clear" w:color="auto" w:fill="auto"/>
            <w:noWrap/>
            <w:hideMark/>
          </w:tcPr>
          <w:p w14:paraId="09F325CC" w14:textId="77777777" w:rsidR="0064797F" w:rsidRPr="0077606A" w:rsidRDefault="0064797F" w:rsidP="0016304F">
            <w:pPr>
              <w:spacing w:after="0"/>
              <w:rPr>
                <w:rFonts w:eastAsia="Times New Roman"/>
                <w:b/>
                <w:bCs/>
                <w:lang w:eastAsia="zh-CN"/>
              </w:rPr>
            </w:pPr>
            <w:r w:rsidRPr="0077606A">
              <w:rPr>
                <w:rFonts w:eastAsia="Times New Roman"/>
                <w:b/>
                <w:bCs/>
                <w:lang w:eastAsia="zh-CN"/>
              </w:rPr>
              <w:t>Yes</w:t>
            </w:r>
          </w:p>
        </w:tc>
        <w:tc>
          <w:tcPr>
            <w:tcW w:w="2756" w:type="dxa"/>
            <w:shd w:val="clear" w:color="auto" w:fill="auto"/>
            <w:noWrap/>
            <w:hideMark/>
          </w:tcPr>
          <w:p w14:paraId="4FFDC74B"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4 and above</w:t>
            </w:r>
          </w:p>
        </w:tc>
        <w:tc>
          <w:tcPr>
            <w:tcW w:w="1438" w:type="dxa"/>
            <w:shd w:val="clear" w:color="auto" w:fill="auto"/>
            <w:noWrap/>
            <w:hideMark/>
          </w:tcPr>
          <w:p w14:paraId="55D36D53" w14:textId="3D11AD83" w:rsidR="0064797F" w:rsidRPr="0077606A" w:rsidRDefault="0064797F" w:rsidP="0016304F">
            <w:pPr>
              <w:spacing w:after="0"/>
              <w:jc w:val="right"/>
              <w:rPr>
                <w:rFonts w:eastAsia="Times New Roman"/>
                <w:lang w:eastAsia="zh-CN"/>
              </w:rPr>
            </w:pPr>
            <w:r w:rsidRPr="00B14C93">
              <w:t>5.4</w:t>
            </w:r>
          </w:p>
        </w:tc>
        <w:tc>
          <w:tcPr>
            <w:tcW w:w="1438" w:type="dxa"/>
            <w:shd w:val="clear" w:color="auto" w:fill="auto"/>
            <w:noWrap/>
            <w:hideMark/>
          </w:tcPr>
          <w:p w14:paraId="2B15E444" w14:textId="6A3A5E04" w:rsidR="0064797F" w:rsidRPr="0077606A" w:rsidRDefault="0064797F" w:rsidP="0016304F">
            <w:pPr>
              <w:spacing w:after="0"/>
              <w:jc w:val="right"/>
              <w:rPr>
                <w:rFonts w:eastAsia="Times New Roman"/>
                <w:lang w:eastAsia="zh-CN"/>
              </w:rPr>
            </w:pPr>
            <w:r w:rsidRPr="00B14C93">
              <w:t>7.1</w:t>
            </w:r>
          </w:p>
        </w:tc>
        <w:tc>
          <w:tcPr>
            <w:tcW w:w="1438" w:type="dxa"/>
            <w:shd w:val="clear" w:color="auto" w:fill="auto"/>
            <w:noWrap/>
            <w:hideMark/>
          </w:tcPr>
          <w:p w14:paraId="01E2D9C0" w14:textId="5C35C114" w:rsidR="0064797F" w:rsidRPr="0077606A" w:rsidRDefault="0064797F" w:rsidP="0016304F">
            <w:pPr>
              <w:spacing w:after="0"/>
              <w:jc w:val="right"/>
              <w:rPr>
                <w:rFonts w:eastAsia="Times New Roman"/>
                <w:lang w:eastAsia="zh-CN"/>
              </w:rPr>
            </w:pPr>
            <w:r w:rsidRPr="00B14C93">
              <w:t>6.9</w:t>
            </w:r>
          </w:p>
        </w:tc>
      </w:tr>
      <w:tr w:rsidR="0064797F" w:rsidRPr="0077606A" w14:paraId="3F026EF5" w14:textId="77777777" w:rsidTr="0064797F">
        <w:trPr>
          <w:trHeight w:val="255"/>
        </w:trPr>
        <w:tc>
          <w:tcPr>
            <w:tcW w:w="2172" w:type="dxa"/>
            <w:shd w:val="clear" w:color="auto" w:fill="auto"/>
            <w:noWrap/>
            <w:hideMark/>
          </w:tcPr>
          <w:p w14:paraId="7E5C6E02"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3AF53657"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3</w:t>
            </w:r>
          </w:p>
        </w:tc>
        <w:tc>
          <w:tcPr>
            <w:tcW w:w="1438" w:type="dxa"/>
            <w:shd w:val="clear" w:color="auto" w:fill="auto"/>
            <w:noWrap/>
            <w:hideMark/>
          </w:tcPr>
          <w:p w14:paraId="6C328BEF" w14:textId="153CFF40" w:rsidR="0064797F" w:rsidRPr="0077606A" w:rsidRDefault="0064797F" w:rsidP="0016304F">
            <w:pPr>
              <w:spacing w:after="0"/>
              <w:jc w:val="right"/>
              <w:rPr>
                <w:rFonts w:eastAsia="Times New Roman"/>
                <w:lang w:eastAsia="zh-CN"/>
              </w:rPr>
            </w:pPr>
            <w:r w:rsidRPr="00B14C93">
              <w:t>15.7</w:t>
            </w:r>
          </w:p>
        </w:tc>
        <w:tc>
          <w:tcPr>
            <w:tcW w:w="1438" w:type="dxa"/>
            <w:shd w:val="clear" w:color="auto" w:fill="auto"/>
            <w:noWrap/>
            <w:hideMark/>
          </w:tcPr>
          <w:p w14:paraId="6A2F31FA" w14:textId="6018EBB3" w:rsidR="0064797F" w:rsidRPr="0077606A" w:rsidRDefault="0064797F" w:rsidP="0016304F">
            <w:pPr>
              <w:spacing w:after="0"/>
              <w:jc w:val="right"/>
              <w:rPr>
                <w:rFonts w:eastAsia="Times New Roman"/>
                <w:lang w:eastAsia="zh-CN"/>
              </w:rPr>
            </w:pPr>
            <w:r w:rsidRPr="00B14C93">
              <w:t>25.1</w:t>
            </w:r>
          </w:p>
        </w:tc>
        <w:tc>
          <w:tcPr>
            <w:tcW w:w="1438" w:type="dxa"/>
            <w:shd w:val="clear" w:color="auto" w:fill="auto"/>
            <w:noWrap/>
            <w:hideMark/>
          </w:tcPr>
          <w:p w14:paraId="2F9D423A" w14:textId="37172DBC" w:rsidR="0064797F" w:rsidRPr="0077606A" w:rsidRDefault="0064797F" w:rsidP="0016304F">
            <w:pPr>
              <w:spacing w:after="0"/>
              <w:jc w:val="right"/>
              <w:rPr>
                <w:rFonts w:eastAsia="Times New Roman"/>
                <w:lang w:eastAsia="zh-CN"/>
              </w:rPr>
            </w:pPr>
            <w:r w:rsidRPr="00B14C93">
              <w:t>23.9</w:t>
            </w:r>
          </w:p>
        </w:tc>
      </w:tr>
      <w:tr w:rsidR="0064797F" w:rsidRPr="0077606A" w14:paraId="395C65BF" w14:textId="77777777" w:rsidTr="0064797F">
        <w:trPr>
          <w:trHeight w:val="255"/>
        </w:trPr>
        <w:tc>
          <w:tcPr>
            <w:tcW w:w="2172" w:type="dxa"/>
            <w:shd w:val="clear" w:color="auto" w:fill="auto"/>
            <w:noWrap/>
            <w:hideMark/>
          </w:tcPr>
          <w:p w14:paraId="5B677635"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2B2EBADA" w14:textId="77777777" w:rsidR="0064797F" w:rsidRPr="0077606A" w:rsidRDefault="0064797F" w:rsidP="0016304F">
            <w:pPr>
              <w:spacing w:after="0"/>
              <w:rPr>
                <w:rFonts w:eastAsia="Times New Roman"/>
                <w:i/>
                <w:iCs/>
                <w:lang w:eastAsia="zh-CN"/>
              </w:rPr>
            </w:pPr>
            <w:r w:rsidRPr="0077606A">
              <w:rPr>
                <w:rFonts w:eastAsia="Times New Roman"/>
                <w:i/>
                <w:iCs/>
                <w:lang w:eastAsia="zh-CN"/>
              </w:rPr>
              <w:t>Trade Apprenticeships</w:t>
            </w:r>
          </w:p>
        </w:tc>
        <w:tc>
          <w:tcPr>
            <w:tcW w:w="1438" w:type="dxa"/>
            <w:shd w:val="clear" w:color="auto" w:fill="auto"/>
            <w:noWrap/>
            <w:hideMark/>
          </w:tcPr>
          <w:p w14:paraId="3AC310BE" w14:textId="0F425ADE" w:rsidR="0064797F" w:rsidRPr="0077606A" w:rsidRDefault="0064797F" w:rsidP="0016304F">
            <w:pPr>
              <w:spacing w:after="0"/>
              <w:jc w:val="right"/>
              <w:rPr>
                <w:rFonts w:eastAsia="Times New Roman"/>
                <w:lang w:eastAsia="zh-CN"/>
              </w:rPr>
            </w:pPr>
            <w:r w:rsidRPr="00B14C93">
              <w:t>0.4</w:t>
            </w:r>
          </w:p>
        </w:tc>
        <w:tc>
          <w:tcPr>
            <w:tcW w:w="1438" w:type="dxa"/>
            <w:shd w:val="clear" w:color="auto" w:fill="auto"/>
            <w:noWrap/>
            <w:hideMark/>
          </w:tcPr>
          <w:p w14:paraId="686610CD" w14:textId="7FA4BAC1" w:rsidR="0064797F" w:rsidRPr="0077606A" w:rsidRDefault="0064797F" w:rsidP="0016304F">
            <w:pPr>
              <w:spacing w:after="0"/>
              <w:jc w:val="right"/>
              <w:rPr>
                <w:rFonts w:eastAsia="Times New Roman"/>
                <w:lang w:eastAsia="zh-CN"/>
              </w:rPr>
            </w:pPr>
            <w:r w:rsidRPr="00B14C93">
              <w:t>0.7</w:t>
            </w:r>
          </w:p>
        </w:tc>
        <w:tc>
          <w:tcPr>
            <w:tcW w:w="1438" w:type="dxa"/>
            <w:shd w:val="clear" w:color="auto" w:fill="auto"/>
            <w:noWrap/>
            <w:hideMark/>
          </w:tcPr>
          <w:p w14:paraId="2E9F8920" w14:textId="6D9D8296" w:rsidR="0064797F" w:rsidRPr="0077606A" w:rsidRDefault="0064797F" w:rsidP="0016304F">
            <w:pPr>
              <w:spacing w:after="0"/>
              <w:jc w:val="right"/>
              <w:rPr>
                <w:rFonts w:eastAsia="Times New Roman"/>
                <w:lang w:eastAsia="zh-CN"/>
              </w:rPr>
            </w:pPr>
            <w:r w:rsidRPr="00B14C93">
              <w:t>0.7</w:t>
            </w:r>
          </w:p>
        </w:tc>
      </w:tr>
      <w:tr w:rsidR="0064797F" w:rsidRPr="0077606A" w14:paraId="3611D423" w14:textId="77777777" w:rsidTr="0064797F">
        <w:trPr>
          <w:trHeight w:val="255"/>
        </w:trPr>
        <w:tc>
          <w:tcPr>
            <w:tcW w:w="2172" w:type="dxa"/>
            <w:shd w:val="clear" w:color="auto" w:fill="auto"/>
            <w:noWrap/>
            <w:hideMark/>
          </w:tcPr>
          <w:p w14:paraId="28B8110D"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3872F032"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2</w:t>
            </w:r>
          </w:p>
        </w:tc>
        <w:tc>
          <w:tcPr>
            <w:tcW w:w="1438" w:type="dxa"/>
            <w:shd w:val="clear" w:color="auto" w:fill="auto"/>
            <w:noWrap/>
            <w:hideMark/>
          </w:tcPr>
          <w:p w14:paraId="2C758B27" w14:textId="4EA793BA" w:rsidR="0064797F" w:rsidRPr="0077606A" w:rsidRDefault="0064797F" w:rsidP="0016304F">
            <w:pPr>
              <w:spacing w:after="0"/>
              <w:jc w:val="right"/>
              <w:rPr>
                <w:rFonts w:eastAsia="Times New Roman"/>
                <w:lang w:eastAsia="zh-CN"/>
              </w:rPr>
            </w:pPr>
            <w:r w:rsidRPr="00B14C93">
              <w:t>9.2</w:t>
            </w:r>
          </w:p>
        </w:tc>
        <w:tc>
          <w:tcPr>
            <w:tcW w:w="1438" w:type="dxa"/>
            <w:shd w:val="clear" w:color="auto" w:fill="auto"/>
            <w:noWrap/>
            <w:hideMark/>
          </w:tcPr>
          <w:p w14:paraId="34681A9B" w14:textId="0DDB1B51" w:rsidR="0064797F" w:rsidRPr="0077606A" w:rsidRDefault="0064797F" w:rsidP="0016304F">
            <w:pPr>
              <w:spacing w:after="0"/>
              <w:jc w:val="right"/>
              <w:rPr>
                <w:rFonts w:eastAsia="Times New Roman"/>
                <w:lang w:eastAsia="zh-CN"/>
              </w:rPr>
            </w:pPr>
            <w:r w:rsidRPr="00B14C93">
              <w:t>12.3</w:t>
            </w:r>
          </w:p>
        </w:tc>
        <w:tc>
          <w:tcPr>
            <w:tcW w:w="1438" w:type="dxa"/>
            <w:shd w:val="clear" w:color="auto" w:fill="auto"/>
            <w:noWrap/>
            <w:hideMark/>
          </w:tcPr>
          <w:p w14:paraId="18D17212" w14:textId="29B3B69D" w:rsidR="0064797F" w:rsidRPr="0077606A" w:rsidRDefault="0064797F" w:rsidP="0016304F">
            <w:pPr>
              <w:spacing w:after="0"/>
              <w:jc w:val="right"/>
              <w:rPr>
                <w:rFonts w:eastAsia="Times New Roman"/>
                <w:lang w:eastAsia="zh-CN"/>
              </w:rPr>
            </w:pPr>
            <w:r w:rsidRPr="00B14C93">
              <w:t>11.9</w:t>
            </w:r>
          </w:p>
        </w:tc>
      </w:tr>
      <w:tr w:rsidR="0064797F" w:rsidRPr="0077606A" w14:paraId="201CE122" w14:textId="77777777" w:rsidTr="0064797F">
        <w:trPr>
          <w:trHeight w:val="255"/>
        </w:trPr>
        <w:tc>
          <w:tcPr>
            <w:tcW w:w="2172" w:type="dxa"/>
            <w:shd w:val="clear" w:color="auto" w:fill="auto"/>
            <w:noWrap/>
            <w:hideMark/>
          </w:tcPr>
          <w:p w14:paraId="65041403"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68809400" w14:textId="77777777" w:rsidR="0064797F" w:rsidRPr="0077606A" w:rsidRDefault="0064797F" w:rsidP="0016304F">
            <w:pPr>
              <w:spacing w:after="0"/>
              <w:rPr>
                <w:rFonts w:eastAsia="Times New Roman"/>
                <w:i/>
                <w:iCs/>
                <w:lang w:eastAsia="zh-CN"/>
              </w:rPr>
            </w:pPr>
            <w:r w:rsidRPr="0077606A">
              <w:rPr>
                <w:rFonts w:eastAsia="Times New Roman"/>
                <w:i/>
                <w:iCs/>
                <w:lang w:eastAsia="zh-CN"/>
              </w:rPr>
              <w:t>Below NQF Level 2</w:t>
            </w:r>
          </w:p>
        </w:tc>
        <w:tc>
          <w:tcPr>
            <w:tcW w:w="1438" w:type="dxa"/>
            <w:shd w:val="clear" w:color="auto" w:fill="auto"/>
            <w:noWrap/>
            <w:hideMark/>
          </w:tcPr>
          <w:p w14:paraId="27BAA6D5" w14:textId="6E7163BF" w:rsidR="0064797F" w:rsidRPr="0077606A" w:rsidRDefault="0064797F" w:rsidP="0016304F">
            <w:pPr>
              <w:spacing w:after="0"/>
              <w:jc w:val="right"/>
              <w:rPr>
                <w:rFonts w:eastAsia="Times New Roman"/>
                <w:lang w:eastAsia="zh-CN"/>
              </w:rPr>
            </w:pPr>
            <w:r w:rsidRPr="00B14C93">
              <w:t>5.8</w:t>
            </w:r>
          </w:p>
        </w:tc>
        <w:tc>
          <w:tcPr>
            <w:tcW w:w="1438" w:type="dxa"/>
            <w:shd w:val="clear" w:color="auto" w:fill="auto"/>
            <w:noWrap/>
            <w:hideMark/>
          </w:tcPr>
          <w:p w14:paraId="3E9F0342" w14:textId="0F0C97DE" w:rsidR="0064797F" w:rsidRPr="0077606A" w:rsidRDefault="0064797F" w:rsidP="0016304F">
            <w:pPr>
              <w:spacing w:after="0"/>
              <w:jc w:val="right"/>
              <w:rPr>
                <w:rFonts w:eastAsia="Times New Roman"/>
                <w:lang w:eastAsia="zh-CN"/>
              </w:rPr>
            </w:pPr>
            <w:r w:rsidRPr="00B14C93">
              <w:t>3.6</w:t>
            </w:r>
          </w:p>
        </w:tc>
        <w:tc>
          <w:tcPr>
            <w:tcW w:w="1438" w:type="dxa"/>
            <w:shd w:val="clear" w:color="auto" w:fill="auto"/>
            <w:noWrap/>
            <w:hideMark/>
          </w:tcPr>
          <w:p w14:paraId="754CD88F" w14:textId="712ACE53" w:rsidR="0064797F" w:rsidRPr="0077606A" w:rsidRDefault="0064797F" w:rsidP="0016304F">
            <w:pPr>
              <w:spacing w:after="0"/>
              <w:jc w:val="right"/>
              <w:rPr>
                <w:rFonts w:eastAsia="Times New Roman"/>
                <w:lang w:eastAsia="zh-CN"/>
              </w:rPr>
            </w:pPr>
            <w:r w:rsidRPr="00B14C93">
              <w:t>3.9</w:t>
            </w:r>
          </w:p>
        </w:tc>
      </w:tr>
      <w:tr w:rsidR="0064797F" w:rsidRPr="0077606A" w14:paraId="3BA1CEE0" w14:textId="77777777" w:rsidTr="0064797F">
        <w:trPr>
          <w:trHeight w:val="255"/>
        </w:trPr>
        <w:tc>
          <w:tcPr>
            <w:tcW w:w="2172" w:type="dxa"/>
            <w:shd w:val="clear" w:color="auto" w:fill="auto"/>
            <w:noWrap/>
            <w:hideMark/>
          </w:tcPr>
          <w:p w14:paraId="0EF5A082"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001B55D3" w14:textId="77777777" w:rsidR="0064797F" w:rsidRPr="0077606A" w:rsidRDefault="0064797F" w:rsidP="0016304F">
            <w:pPr>
              <w:spacing w:after="0"/>
              <w:rPr>
                <w:rFonts w:eastAsia="Times New Roman"/>
                <w:i/>
                <w:iCs/>
                <w:lang w:eastAsia="zh-CN"/>
              </w:rPr>
            </w:pPr>
            <w:r w:rsidRPr="0077606A">
              <w:rPr>
                <w:rFonts w:eastAsia="Times New Roman"/>
                <w:i/>
                <w:iCs/>
                <w:lang w:eastAsia="zh-CN"/>
              </w:rPr>
              <w:t>Other Qualifications</w:t>
            </w:r>
          </w:p>
        </w:tc>
        <w:tc>
          <w:tcPr>
            <w:tcW w:w="1438" w:type="dxa"/>
            <w:shd w:val="clear" w:color="auto" w:fill="auto"/>
            <w:noWrap/>
            <w:hideMark/>
          </w:tcPr>
          <w:p w14:paraId="33B834C7" w14:textId="123A4C94" w:rsidR="0064797F" w:rsidRPr="0077606A" w:rsidRDefault="0064797F" w:rsidP="0016304F">
            <w:pPr>
              <w:spacing w:after="0"/>
              <w:jc w:val="right"/>
              <w:rPr>
                <w:rFonts w:eastAsia="Times New Roman"/>
                <w:lang w:eastAsia="zh-CN"/>
              </w:rPr>
            </w:pPr>
            <w:r w:rsidRPr="00B14C93">
              <w:t>0.9</w:t>
            </w:r>
          </w:p>
        </w:tc>
        <w:tc>
          <w:tcPr>
            <w:tcW w:w="1438" w:type="dxa"/>
            <w:shd w:val="clear" w:color="auto" w:fill="auto"/>
            <w:noWrap/>
            <w:hideMark/>
          </w:tcPr>
          <w:p w14:paraId="3CCD87D1" w14:textId="61987825" w:rsidR="0064797F" w:rsidRPr="0077606A" w:rsidRDefault="0064797F" w:rsidP="0016304F">
            <w:pPr>
              <w:spacing w:after="0"/>
              <w:jc w:val="right"/>
              <w:rPr>
                <w:rFonts w:eastAsia="Times New Roman"/>
                <w:lang w:eastAsia="zh-CN"/>
              </w:rPr>
            </w:pPr>
            <w:r w:rsidRPr="00B14C93">
              <w:t>1.2</w:t>
            </w:r>
          </w:p>
        </w:tc>
        <w:tc>
          <w:tcPr>
            <w:tcW w:w="1438" w:type="dxa"/>
            <w:shd w:val="clear" w:color="auto" w:fill="auto"/>
            <w:noWrap/>
            <w:hideMark/>
          </w:tcPr>
          <w:p w14:paraId="33E036C4" w14:textId="31460DFE" w:rsidR="0064797F" w:rsidRPr="0077606A" w:rsidRDefault="0064797F" w:rsidP="0016304F">
            <w:pPr>
              <w:spacing w:after="0"/>
              <w:jc w:val="right"/>
              <w:rPr>
                <w:rFonts w:eastAsia="Times New Roman"/>
                <w:lang w:eastAsia="zh-CN"/>
              </w:rPr>
            </w:pPr>
            <w:r w:rsidRPr="00B14C93">
              <w:t>1.1</w:t>
            </w:r>
          </w:p>
        </w:tc>
      </w:tr>
      <w:tr w:rsidR="0064797F" w:rsidRPr="0077606A" w14:paraId="123B277D" w14:textId="77777777" w:rsidTr="0064797F">
        <w:trPr>
          <w:trHeight w:val="255"/>
        </w:trPr>
        <w:tc>
          <w:tcPr>
            <w:tcW w:w="2172" w:type="dxa"/>
            <w:tcBorders>
              <w:bottom w:val="single" w:sz="4" w:space="0" w:color="auto"/>
            </w:tcBorders>
            <w:shd w:val="clear" w:color="auto" w:fill="auto"/>
            <w:noWrap/>
            <w:hideMark/>
          </w:tcPr>
          <w:p w14:paraId="498A40C4"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57E36D6D"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No Qualifications</w:t>
            </w:r>
          </w:p>
        </w:tc>
        <w:tc>
          <w:tcPr>
            <w:tcW w:w="1438" w:type="dxa"/>
            <w:shd w:val="clear" w:color="auto" w:fill="auto"/>
            <w:noWrap/>
            <w:hideMark/>
          </w:tcPr>
          <w:p w14:paraId="4AE9E0B7" w14:textId="679387FD" w:rsidR="0064797F" w:rsidRPr="0077606A" w:rsidRDefault="0064797F" w:rsidP="0016304F">
            <w:pPr>
              <w:spacing w:after="0"/>
              <w:jc w:val="right"/>
              <w:rPr>
                <w:rFonts w:eastAsia="Times New Roman"/>
                <w:lang w:eastAsia="zh-CN"/>
              </w:rPr>
            </w:pPr>
            <w:r w:rsidRPr="00B14C93">
              <w:t>2</w:t>
            </w:r>
          </w:p>
        </w:tc>
        <w:tc>
          <w:tcPr>
            <w:tcW w:w="1438" w:type="dxa"/>
            <w:shd w:val="clear" w:color="auto" w:fill="auto"/>
            <w:noWrap/>
            <w:hideMark/>
          </w:tcPr>
          <w:p w14:paraId="095E9876" w14:textId="21D4D006" w:rsidR="0064797F" w:rsidRPr="0077606A" w:rsidRDefault="0064797F" w:rsidP="0016304F">
            <w:pPr>
              <w:spacing w:after="0"/>
              <w:jc w:val="right"/>
              <w:rPr>
                <w:rFonts w:eastAsia="Times New Roman"/>
                <w:lang w:eastAsia="zh-CN"/>
              </w:rPr>
            </w:pPr>
            <w:r w:rsidRPr="00B14C93">
              <w:t>0.7</w:t>
            </w:r>
          </w:p>
        </w:tc>
        <w:tc>
          <w:tcPr>
            <w:tcW w:w="1438" w:type="dxa"/>
            <w:shd w:val="clear" w:color="auto" w:fill="auto"/>
            <w:noWrap/>
            <w:hideMark/>
          </w:tcPr>
          <w:p w14:paraId="0D0BA164" w14:textId="7C3D4B38" w:rsidR="0064797F" w:rsidRPr="0077606A" w:rsidRDefault="0064797F" w:rsidP="0016304F">
            <w:pPr>
              <w:spacing w:after="0"/>
              <w:jc w:val="right"/>
              <w:rPr>
                <w:rFonts w:eastAsia="Times New Roman"/>
                <w:lang w:eastAsia="zh-CN"/>
              </w:rPr>
            </w:pPr>
            <w:r w:rsidRPr="00B14C93">
              <w:t>0.9</w:t>
            </w:r>
          </w:p>
        </w:tc>
      </w:tr>
      <w:tr w:rsidR="0064797F" w:rsidRPr="0077606A" w14:paraId="12B779D5" w14:textId="77777777" w:rsidTr="0064797F">
        <w:trPr>
          <w:trHeight w:val="255"/>
        </w:trPr>
        <w:tc>
          <w:tcPr>
            <w:tcW w:w="2172" w:type="dxa"/>
            <w:shd w:val="clear" w:color="auto" w:fill="D9D9D9"/>
            <w:noWrap/>
            <w:hideMark/>
          </w:tcPr>
          <w:p w14:paraId="026695B2" w14:textId="77777777" w:rsidR="0064797F" w:rsidRPr="0077606A" w:rsidRDefault="0064797F" w:rsidP="0016304F">
            <w:pPr>
              <w:spacing w:after="0"/>
              <w:rPr>
                <w:rFonts w:eastAsia="Times New Roman"/>
                <w:b/>
                <w:bCs/>
                <w:lang w:eastAsia="zh-CN"/>
              </w:rPr>
            </w:pPr>
            <w:r w:rsidRPr="0077606A">
              <w:rPr>
                <w:rFonts w:eastAsia="Times New Roman"/>
                <w:b/>
                <w:bCs/>
                <w:lang w:eastAsia="zh-CN"/>
              </w:rPr>
              <w:t>No</w:t>
            </w:r>
          </w:p>
        </w:tc>
        <w:tc>
          <w:tcPr>
            <w:tcW w:w="2756" w:type="dxa"/>
            <w:shd w:val="clear" w:color="auto" w:fill="auto"/>
            <w:noWrap/>
            <w:hideMark/>
          </w:tcPr>
          <w:p w14:paraId="34897261"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4 and above</w:t>
            </w:r>
          </w:p>
        </w:tc>
        <w:tc>
          <w:tcPr>
            <w:tcW w:w="1438" w:type="dxa"/>
            <w:shd w:val="clear" w:color="auto" w:fill="auto"/>
            <w:noWrap/>
            <w:hideMark/>
          </w:tcPr>
          <w:p w14:paraId="17F5CD3B" w14:textId="567BA9C4" w:rsidR="0064797F" w:rsidRPr="0077606A" w:rsidRDefault="0064797F" w:rsidP="0016304F">
            <w:pPr>
              <w:spacing w:after="0"/>
              <w:jc w:val="right"/>
              <w:rPr>
                <w:rFonts w:eastAsia="Times New Roman"/>
                <w:lang w:eastAsia="zh-CN"/>
              </w:rPr>
            </w:pPr>
            <w:r w:rsidRPr="00B14C93">
              <w:t>8.2</w:t>
            </w:r>
          </w:p>
        </w:tc>
        <w:tc>
          <w:tcPr>
            <w:tcW w:w="1438" w:type="dxa"/>
            <w:shd w:val="clear" w:color="auto" w:fill="auto"/>
            <w:noWrap/>
            <w:hideMark/>
          </w:tcPr>
          <w:p w14:paraId="4BCF20AE" w14:textId="612C98F2" w:rsidR="0064797F" w:rsidRPr="0077606A" w:rsidRDefault="0064797F" w:rsidP="0016304F">
            <w:pPr>
              <w:spacing w:after="0"/>
              <w:jc w:val="right"/>
              <w:rPr>
                <w:rFonts w:eastAsia="Times New Roman"/>
                <w:lang w:eastAsia="zh-CN"/>
              </w:rPr>
            </w:pPr>
            <w:r w:rsidRPr="00B14C93">
              <w:t>13.4</w:t>
            </w:r>
          </w:p>
        </w:tc>
        <w:tc>
          <w:tcPr>
            <w:tcW w:w="1438" w:type="dxa"/>
            <w:shd w:val="clear" w:color="auto" w:fill="auto"/>
            <w:noWrap/>
            <w:hideMark/>
          </w:tcPr>
          <w:p w14:paraId="6425A1A7" w14:textId="06F46677" w:rsidR="0064797F" w:rsidRPr="0077606A" w:rsidRDefault="0064797F" w:rsidP="0016304F">
            <w:pPr>
              <w:spacing w:after="0"/>
              <w:jc w:val="right"/>
              <w:rPr>
                <w:rFonts w:eastAsia="Times New Roman"/>
                <w:lang w:eastAsia="zh-CN"/>
              </w:rPr>
            </w:pPr>
            <w:r w:rsidRPr="00B14C93">
              <w:t>12.8</w:t>
            </w:r>
          </w:p>
        </w:tc>
      </w:tr>
      <w:tr w:rsidR="0064797F" w:rsidRPr="0077606A" w14:paraId="64E56432" w14:textId="77777777" w:rsidTr="0064797F">
        <w:trPr>
          <w:trHeight w:val="255"/>
        </w:trPr>
        <w:tc>
          <w:tcPr>
            <w:tcW w:w="2172" w:type="dxa"/>
            <w:shd w:val="clear" w:color="auto" w:fill="auto"/>
            <w:noWrap/>
            <w:hideMark/>
          </w:tcPr>
          <w:p w14:paraId="23C9A504"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09CC4C9E"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3</w:t>
            </w:r>
          </w:p>
        </w:tc>
        <w:tc>
          <w:tcPr>
            <w:tcW w:w="1438" w:type="dxa"/>
            <w:shd w:val="clear" w:color="auto" w:fill="auto"/>
            <w:noWrap/>
            <w:hideMark/>
          </w:tcPr>
          <w:p w14:paraId="7DA40BC8" w14:textId="690BA1F1" w:rsidR="0064797F" w:rsidRPr="0077606A" w:rsidRDefault="0064797F" w:rsidP="0016304F">
            <w:pPr>
              <w:spacing w:after="0"/>
              <w:jc w:val="right"/>
              <w:rPr>
                <w:rFonts w:eastAsia="Times New Roman"/>
                <w:lang w:eastAsia="zh-CN"/>
              </w:rPr>
            </w:pPr>
            <w:r w:rsidRPr="00B14C93">
              <w:t>12.3</w:t>
            </w:r>
          </w:p>
        </w:tc>
        <w:tc>
          <w:tcPr>
            <w:tcW w:w="1438" w:type="dxa"/>
            <w:shd w:val="clear" w:color="auto" w:fill="auto"/>
            <w:noWrap/>
            <w:hideMark/>
          </w:tcPr>
          <w:p w14:paraId="1964F550" w14:textId="7E509C06" w:rsidR="0064797F" w:rsidRPr="0077606A" w:rsidRDefault="0064797F" w:rsidP="0016304F">
            <w:pPr>
              <w:spacing w:after="0"/>
              <w:jc w:val="right"/>
              <w:rPr>
                <w:rFonts w:eastAsia="Times New Roman"/>
                <w:lang w:eastAsia="zh-CN"/>
              </w:rPr>
            </w:pPr>
            <w:r w:rsidRPr="00B14C93">
              <w:t>13.3</w:t>
            </w:r>
          </w:p>
        </w:tc>
        <w:tc>
          <w:tcPr>
            <w:tcW w:w="1438" w:type="dxa"/>
            <w:shd w:val="clear" w:color="auto" w:fill="auto"/>
            <w:noWrap/>
            <w:hideMark/>
          </w:tcPr>
          <w:p w14:paraId="5123C911" w14:textId="757E8D95" w:rsidR="0064797F" w:rsidRPr="0077606A" w:rsidRDefault="0064797F" w:rsidP="0016304F">
            <w:pPr>
              <w:spacing w:after="0"/>
              <w:jc w:val="right"/>
              <w:rPr>
                <w:rFonts w:eastAsia="Times New Roman"/>
                <w:lang w:eastAsia="zh-CN"/>
              </w:rPr>
            </w:pPr>
            <w:r w:rsidRPr="00B14C93">
              <w:t>13.2</w:t>
            </w:r>
          </w:p>
        </w:tc>
      </w:tr>
      <w:tr w:rsidR="0064797F" w:rsidRPr="0077606A" w14:paraId="75E16D94" w14:textId="77777777" w:rsidTr="0064797F">
        <w:trPr>
          <w:trHeight w:val="255"/>
        </w:trPr>
        <w:tc>
          <w:tcPr>
            <w:tcW w:w="2172" w:type="dxa"/>
            <w:shd w:val="clear" w:color="auto" w:fill="auto"/>
            <w:noWrap/>
            <w:hideMark/>
          </w:tcPr>
          <w:p w14:paraId="4F41B5E5" w14:textId="77777777" w:rsidR="0064797F" w:rsidRPr="0077606A" w:rsidRDefault="0064797F" w:rsidP="0016304F">
            <w:pPr>
              <w:spacing w:after="0"/>
              <w:rPr>
                <w:rFonts w:eastAsia="Times New Roman"/>
                <w:b/>
                <w:bCs/>
                <w:lang w:eastAsia="zh-CN"/>
              </w:rPr>
            </w:pPr>
          </w:p>
        </w:tc>
        <w:tc>
          <w:tcPr>
            <w:tcW w:w="2756" w:type="dxa"/>
            <w:shd w:val="clear" w:color="auto" w:fill="auto"/>
            <w:noWrap/>
            <w:hideMark/>
          </w:tcPr>
          <w:p w14:paraId="26EBE2F7" w14:textId="77777777" w:rsidR="0064797F" w:rsidRPr="0077606A" w:rsidRDefault="0064797F" w:rsidP="0016304F">
            <w:pPr>
              <w:spacing w:after="0"/>
              <w:rPr>
                <w:rFonts w:eastAsia="Times New Roman"/>
                <w:i/>
                <w:iCs/>
                <w:lang w:eastAsia="zh-CN"/>
              </w:rPr>
            </w:pPr>
            <w:r w:rsidRPr="0077606A">
              <w:rPr>
                <w:rFonts w:eastAsia="Times New Roman"/>
                <w:i/>
                <w:iCs/>
                <w:lang w:eastAsia="zh-CN"/>
              </w:rPr>
              <w:t>Trade Apprenticeships</w:t>
            </w:r>
          </w:p>
        </w:tc>
        <w:tc>
          <w:tcPr>
            <w:tcW w:w="1438" w:type="dxa"/>
            <w:shd w:val="clear" w:color="auto" w:fill="auto"/>
            <w:noWrap/>
            <w:hideMark/>
          </w:tcPr>
          <w:p w14:paraId="426EF03A" w14:textId="130A93A1" w:rsidR="0064797F" w:rsidRPr="0077606A" w:rsidRDefault="0064797F" w:rsidP="0016304F">
            <w:pPr>
              <w:spacing w:after="0"/>
              <w:jc w:val="right"/>
              <w:rPr>
                <w:rFonts w:eastAsia="Times New Roman"/>
                <w:lang w:eastAsia="zh-CN"/>
              </w:rPr>
            </w:pPr>
            <w:r w:rsidRPr="00B14C93">
              <w:t>2.2</w:t>
            </w:r>
          </w:p>
        </w:tc>
        <w:tc>
          <w:tcPr>
            <w:tcW w:w="1438" w:type="dxa"/>
            <w:shd w:val="clear" w:color="auto" w:fill="auto"/>
            <w:noWrap/>
            <w:hideMark/>
          </w:tcPr>
          <w:p w14:paraId="3502BA63" w14:textId="17CE3CC4" w:rsidR="0064797F" w:rsidRPr="0077606A" w:rsidRDefault="0064797F" w:rsidP="0016304F">
            <w:pPr>
              <w:spacing w:after="0"/>
              <w:jc w:val="right"/>
              <w:rPr>
                <w:rFonts w:eastAsia="Times New Roman"/>
                <w:lang w:eastAsia="zh-CN"/>
              </w:rPr>
            </w:pPr>
            <w:r w:rsidRPr="00B14C93">
              <w:t>2.4</w:t>
            </w:r>
          </w:p>
        </w:tc>
        <w:tc>
          <w:tcPr>
            <w:tcW w:w="1438" w:type="dxa"/>
            <w:shd w:val="clear" w:color="auto" w:fill="auto"/>
            <w:noWrap/>
            <w:hideMark/>
          </w:tcPr>
          <w:p w14:paraId="44B52F39" w14:textId="5DFDE44C" w:rsidR="0064797F" w:rsidRPr="0077606A" w:rsidRDefault="0064797F" w:rsidP="0016304F">
            <w:pPr>
              <w:spacing w:after="0"/>
              <w:jc w:val="right"/>
              <w:rPr>
                <w:rFonts w:eastAsia="Times New Roman"/>
                <w:lang w:eastAsia="zh-CN"/>
              </w:rPr>
            </w:pPr>
            <w:r w:rsidRPr="00B14C93">
              <w:t>2.4</w:t>
            </w:r>
          </w:p>
        </w:tc>
      </w:tr>
      <w:tr w:rsidR="0064797F" w:rsidRPr="0077606A" w14:paraId="208E77BF" w14:textId="77777777" w:rsidTr="0064797F">
        <w:trPr>
          <w:trHeight w:val="255"/>
        </w:trPr>
        <w:tc>
          <w:tcPr>
            <w:tcW w:w="2172" w:type="dxa"/>
            <w:tcBorders>
              <w:bottom w:val="single" w:sz="4" w:space="0" w:color="auto"/>
            </w:tcBorders>
            <w:shd w:val="clear" w:color="auto" w:fill="auto"/>
            <w:noWrap/>
            <w:hideMark/>
          </w:tcPr>
          <w:p w14:paraId="6435B8BB" w14:textId="77777777" w:rsidR="0064797F" w:rsidRPr="0077606A" w:rsidRDefault="0064797F" w:rsidP="0016304F">
            <w:pPr>
              <w:spacing w:after="0"/>
              <w:rPr>
                <w:rFonts w:eastAsia="Times New Roman"/>
                <w:b/>
                <w:bCs/>
                <w:lang w:eastAsia="zh-CN"/>
              </w:rPr>
            </w:pPr>
          </w:p>
        </w:tc>
        <w:tc>
          <w:tcPr>
            <w:tcW w:w="2756" w:type="dxa"/>
            <w:tcBorders>
              <w:bottom w:val="single" w:sz="4" w:space="0" w:color="auto"/>
            </w:tcBorders>
            <w:shd w:val="clear" w:color="auto" w:fill="auto"/>
            <w:noWrap/>
            <w:hideMark/>
          </w:tcPr>
          <w:p w14:paraId="7BFCC269" w14:textId="77777777" w:rsidR="0064797F" w:rsidRPr="0077606A" w:rsidRDefault="0064797F" w:rsidP="0016304F">
            <w:pPr>
              <w:spacing w:after="0"/>
              <w:rPr>
                <w:rFonts w:eastAsia="Times New Roman"/>
                <w:i/>
                <w:iCs/>
                <w:lang w:eastAsia="zh-CN"/>
              </w:rPr>
            </w:pPr>
            <w:r w:rsidRPr="0077606A">
              <w:rPr>
                <w:rFonts w:eastAsia="Times New Roman"/>
                <w:i/>
                <w:iCs/>
                <w:lang w:eastAsia="zh-CN"/>
              </w:rPr>
              <w:t>NQF Level 2</w:t>
            </w:r>
          </w:p>
        </w:tc>
        <w:tc>
          <w:tcPr>
            <w:tcW w:w="1438" w:type="dxa"/>
            <w:tcBorders>
              <w:bottom w:val="single" w:sz="4" w:space="0" w:color="auto"/>
            </w:tcBorders>
            <w:shd w:val="clear" w:color="auto" w:fill="auto"/>
            <w:noWrap/>
            <w:hideMark/>
          </w:tcPr>
          <w:p w14:paraId="2ABB263D" w14:textId="702C212E" w:rsidR="0064797F" w:rsidRPr="0077606A" w:rsidRDefault="0064797F" w:rsidP="0016304F">
            <w:pPr>
              <w:spacing w:after="0"/>
              <w:jc w:val="right"/>
              <w:rPr>
                <w:rFonts w:eastAsia="Times New Roman"/>
                <w:lang w:eastAsia="zh-CN"/>
              </w:rPr>
            </w:pPr>
            <w:r w:rsidRPr="00B14C93">
              <w:t>13.2</w:t>
            </w:r>
          </w:p>
        </w:tc>
        <w:tc>
          <w:tcPr>
            <w:tcW w:w="1438" w:type="dxa"/>
            <w:tcBorders>
              <w:bottom w:val="single" w:sz="4" w:space="0" w:color="auto"/>
            </w:tcBorders>
            <w:shd w:val="clear" w:color="auto" w:fill="auto"/>
            <w:noWrap/>
            <w:hideMark/>
          </w:tcPr>
          <w:p w14:paraId="68B6C1CF" w14:textId="6801DF4A" w:rsidR="0064797F" w:rsidRPr="0077606A" w:rsidRDefault="0064797F" w:rsidP="0016304F">
            <w:pPr>
              <w:spacing w:after="0"/>
              <w:jc w:val="right"/>
              <w:rPr>
                <w:rFonts w:eastAsia="Times New Roman"/>
                <w:lang w:eastAsia="zh-CN"/>
              </w:rPr>
            </w:pPr>
            <w:r w:rsidRPr="00B14C93">
              <w:t>10.2</w:t>
            </w:r>
          </w:p>
        </w:tc>
        <w:tc>
          <w:tcPr>
            <w:tcW w:w="1438" w:type="dxa"/>
            <w:tcBorders>
              <w:bottom w:val="single" w:sz="4" w:space="0" w:color="auto"/>
            </w:tcBorders>
            <w:shd w:val="clear" w:color="auto" w:fill="auto"/>
            <w:noWrap/>
            <w:hideMark/>
          </w:tcPr>
          <w:p w14:paraId="4635FF43" w14:textId="2AE00435" w:rsidR="0064797F" w:rsidRPr="0077606A" w:rsidRDefault="0064797F" w:rsidP="0016304F">
            <w:pPr>
              <w:spacing w:after="0"/>
              <w:jc w:val="right"/>
              <w:rPr>
                <w:rFonts w:eastAsia="Times New Roman"/>
                <w:lang w:eastAsia="zh-CN"/>
              </w:rPr>
            </w:pPr>
            <w:r w:rsidRPr="00B14C93">
              <w:t>10.6</w:t>
            </w:r>
          </w:p>
        </w:tc>
      </w:tr>
      <w:tr w:rsidR="0064797F" w:rsidRPr="0077606A" w14:paraId="7FC6FBEB" w14:textId="77777777" w:rsidTr="0064797F">
        <w:trPr>
          <w:trHeight w:val="255"/>
        </w:trPr>
        <w:tc>
          <w:tcPr>
            <w:tcW w:w="2172" w:type="dxa"/>
            <w:shd w:val="pct10" w:color="auto" w:fill="auto"/>
            <w:noWrap/>
            <w:hideMark/>
          </w:tcPr>
          <w:p w14:paraId="14949C07" w14:textId="77777777" w:rsidR="0064797F" w:rsidRPr="0077606A" w:rsidRDefault="0064797F" w:rsidP="0016304F">
            <w:pPr>
              <w:spacing w:after="0"/>
              <w:rPr>
                <w:rFonts w:eastAsia="Times New Roman"/>
                <w:b/>
                <w:bCs/>
                <w:lang w:eastAsia="zh-CN"/>
              </w:rPr>
            </w:pPr>
            <w:r w:rsidRPr="0077606A">
              <w:rPr>
                <w:rFonts w:eastAsia="Times New Roman"/>
                <w:b/>
                <w:bCs/>
                <w:lang w:eastAsia="zh-CN"/>
              </w:rPr>
              <w:t>(early leavers)</w:t>
            </w:r>
          </w:p>
        </w:tc>
        <w:tc>
          <w:tcPr>
            <w:tcW w:w="2756" w:type="dxa"/>
            <w:shd w:val="pct10" w:color="auto" w:fill="auto"/>
            <w:noWrap/>
            <w:hideMark/>
          </w:tcPr>
          <w:p w14:paraId="24327084" w14:textId="77777777" w:rsidR="0064797F" w:rsidRPr="0077606A" w:rsidRDefault="0064797F" w:rsidP="0016304F">
            <w:pPr>
              <w:spacing w:after="0"/>
              <w:rPr>
                <w:rFonts w:eastAsia="Times New Roman"/>
                <w:i/>
                <w:iCs/>
                <w:lang w:eastAsia="zh-CN"/>
              </w:rPr>
            </w:pPr>
            <w:r w:rsidRPr="0077606A">
              <w:rPr>
                <w:rFonts w:eastAsia="Times New Roman"/>
                <w:i/>
                <w:iCs/>
                <w:lang w:eastAsia="zh-CN"/>
              </w:rPr>
              <w:t>Below NQF Level 2</w:t>
            </w:r>
          </w:p>
        </w:tc>
        <w:tc>
          <w:tcPr>
            <w:tcW w:w="1438" w:type="dxa"/>
            <w:shd w:val="pct10" w:color="auto" w:fill="auto"/>
            <w:noWrap/>
            <w:hideMark/>
          </w:tcPr>
          <w:p w14:paraId="3E1345BB" w14:textId="6F0E356D" w:rsidR="0064797F" w:rsidRPr="0077606A" w:rsidRDefault="0064797F" w:rsidP="0016304F">
            <w:pPr>
              <w:spacing w:after="0"/>
              <w:jc w:val="right"/>
              <w:rPr>
                <w:rFonts w:eastAsia="Times New Roman"/>
                <w:lang w:eastAsia="zh-CN"/>
              </w:rPr>
            </w:pPr>
            <w:r w:rsidRPr="00B14C93">
              <w:t>12.2</w:t>
            </w:r>
          </w:p>
        </w:tc>
        <w:tc>
          <w:tcPr>
            <w:tcW w:w="1438" w:type="dxa"/>
            <w:shd w:val="pct10" w:color="auto" w:fill="auto"/>
            <w:noWrap/>
            <w:hideMark/>
          </w:tcPr>
          <w:p w14:paraId="0466DF3E" w14:textId="0F247E14" w:rsidR="0064797F" w:rsidRPr="0077606A" w:rsidRDefault="0064797F" w:rsidP="0016304F">
            <w:pPr>
              <w:spacing w:after="0"/>
              <w:jc w:val="right"/>
              <w:rPr>
                <w:rFonts w:eastAsia="Times New Roman"/>
                <w:lang w:eastAsia="zh-CN"/>
              </w:rPr>
            </w:pPr>
            <w:r w:rsidRPr="00B14C93">
              <w:t>5.1</w:t>
            </w:r>
          </w:p>
        </w:tc>
        <w:tc>
          <w:tcPr>
            <w:tcW w:w="1438" w:type="dxa"/>
            <w:shd w:val="pct10" w:color="auto" w:fill="auto"/>
            <w:noWrap/>
            <w:hideMark/>
          </w:tcPr>
          <w:p w14:paraId="798F0BDC" w14:textId="060572E7" w:rsidR="0064797F" w:rsidRPr="0077606A" w:rsidRDefault="0064797F" w:rsidP="0016304F">
            <w:pPr>
              <w:spacing w:after="0"/>
              <w:jc w:val="right"/>
              <w:rPr>
                <w:rFonts w:eastAsia="Times New Roman"/>
                <w:lang w:eastAsia="zh-CN"/>
              </w:rPr>
            </w:pPr>
            <w:r w:rsidRPr="00B14C93">
              <w:t>5.9</w:t>
            </w:r>
          </w:p>
        </w:tc>
      </w:tr>
      <w:tr w:rsidR="0064797F" w:rsidRPr="0077606A" w14:paraId="46E24E88" w14:textId="77777777" w:rsidTr="0064797F">
        <w:trPr>
          <w:trHeight w:val="255"/>
        </w:trPr>
        <w:tc>
          <w:tcPr>
            <w:tcW w:w="2172" w:type="dxa"/>
            <w:shd w:val="pct10" w:color="auto" w:fill="auto"/>
            <w:noWrap/>
            <w:hideMark/>
          </w:tcPr>
          <w:p w14:paraId="0FBB5019" w14:textId="77777777" w:rsidR="0064797F" w:rsidRPr="0077606A" w:rsidRDefault="0064797F" w:rsidP="0016304F">
            <w:pPr>
              <w:spacing w:after="0"/>
              <w:rPr>
                <w:rFonts w:eastAsia="Times New Roman"/>
                <w:b/>
                <w:bCs/>
                <w:lang w:eastAsia="zh-CN"/>
              </w:rPr>
            </w:pPr>
            <w:r w:rsidRPr="0077606A">
              <w:rPr>
                <w:rFonts w:eastAsia="Times New Roman"/>
                <w:b/>
                <w:bCs/>
                <w:lang w:eastAsia="zh-CN"/>
              </w:rPr>
              <w:t>(early leavers)</w:t>
            </w:r>
          </w:p>
        </w:tc>
        <w:tc>
          <w:tcPr>
            <w:tcW w:w="2756" w:type="dxa"/>
            <w:shd w:val="pct10" w:color="auto" w:fill="auto"/>
            <w:noWrap/>
          </w:tcPr>
          <w:p w14:paraId="1FFC8DF3" w14:textId="303E4A37" w:rsidR="0064797F" w:rsidRPr="0077606A" w:rsidRDefault="0064797F" w:rsidP="0016304F">
            <w:pPr>
              <w:spacing w:after="0"/>
              <w:rPr>
                <w:rFonts w:eastAsia="Times New Roman"/>
                <w:i/>
                <w:iCs/>
                <w:lang w:eastAsia="zh-CN"/>
              </w:rPr>
            </w:pPr>
            <w:r>
              <w:rPr>
                <w:rFonts w:eastAsia="Times New Roman"/>
                <w:i/>
                <w:iCs/>
                <w:lang w:eastAsia="zh-CN"/>
              </w:rPr>
              <w:t>No</w:t>
            </w:r>
            <w:r w:rsidRPr="0077606A">
              <w:rPr>
                <w:rFonts w:eastAsia="Times New Roman"/>
                <w:i/>
                <w:iCs/>
                <w:lang w:eastAsia="zh-CN"/>
              </w:rPr>
              <w:t xml:space="preserve"> Qualifications</w:t>
            </w:r>
          </w:p>
        </w:tc>
        <w:tc>
          <w:tcPr>
            <w:tcW w:w="1438" w:type="dxa"/>
            <w:shd w:val="pct10" w:color="auto" w:fill="auto"/>
            <w:noWrap/>
          </w:tcPr>
          <w:p w14:paraId="36DE65F7" w14:textId="1A15ACC9" w:rsidR="0064797F" w:rsidRPr="0077606A" w:rsidRDefault="0064797F" w:rsidP="0016304F">
            <w:pPr>
              <w:spacing w:after="0"/>
              <w:jc w:val="right"/>
              <w:rPr>
                <w:rFonts w:eastAsia="Times New Roman"/>
                <w:lang w:eastAsia="zh-CN"/>
              </w:rPr>
            </w:pPr>
            <w:r w:rsidRPr="00B14C93">
              <w:t>3.4</w:t>
            </w:r>
          </w:p>
        </w:tc>
        <w:tc>
          <w:tcPr>
            <w:tcW w:w="1438" w:type="dxa"/>
            <w:shd w:val="pct10" w:color="auto" w:fill="auto"/>
            <w:noWrap/>
          </w:tcPr>
          <w:p w14:paraId="0CFA8189" w14:textId="4C925C95" w:rsidR="0064797F" w:rsidRPr="0077606A" w:rsidRDefault="0064797F" w:rsidP="0016304F">
            <w:pPr>
              <w:spacing w:after="0"/>
              <w:jc w:val="right"/>
              <w:rPr>
                <w:rFonts w:eastAsia="Times New Roman"/>
                <w:lang w:eastAsia="zh-CN"/>
              </w:rPr>
            </w:pPr>
            <w:r w:rsidRPr="00B14C93">
              <w:t>2.7</w:t>
            </w:r>
          </w:p>
        </w:tc>
        <w:tc>
          <w:tcPr>
            <w:tcW w:w="1438" w:type="dxa"/>
            <w:shd w:val="pct10" w:color="auto" w:fill="auto"/>
            <w:noWrap/>
          </w:tcPr>
          <w:p w14:paraId="01481F38" w14:textId="25F6977F" w:rsidR="0064797F" w:rsidRPr="0077606A" w:rsidRDefault="0064797F" w:rsidP="0016304F">
            <w:pPr>
              <w:spacing w:after="0"/>
              <w:jc w:val="right"/>
              <w:rPr>
                <w:rFonts w:eastAsia="Times New Roman"/>
                <w:lang w:eastAsia="zh-CN"/>
              </w:rPr>
            </w:pPr>
            <w:r w:rsidRPr="00B14C93">
              <w:t>2.8</w:t>
            </w:r>
          </w:p>
        </w:tc>
      </w:tr>
      <w:tr w:rsidR="0064797F" w:rsidRPr="0077606A" w14:paraId="2C40C549" w14:textId="77777777" w:rsidTr="0064797F">
        <w:trPr>
          <w:trHeight w:val="255"/>
        </w:trPr>
        <w:tc>
          <w:tcPr>
            <w:tcW w:w="2172" w:type="dxa"/>
            <w:tcBorders>
              <w:bottom w:val="single" w:sz="4" w:space="0" w:color="auto"/>
            </w:tcBorders>
            <w:shd w:val="clear" w:color="auto" w:fill="auto"/>
            <w:noWrap/>
          </w:tcPr>
          <w:p w14:paraId="72EB912B" w14:textId="77777777" w:rsidR="0064797F" w:rsidRPr="0077606A" w:rsidRDefault="0064797F" w:rsidP="0016304F">
            <w:pPr>
              <w:spacing w:after="0"/>
              <w:rPr>
                <w:rFonts w:eastAsia="Times New Roman"/>
                <w:b/>
                <w:bCs/>
                <w:lang w:eastAsia="zh-CN"/>
              </w:rPr>
            </w:pPr>
          </w:p>
        </w:tc>
        <w:tc>
          <w:tcPr>
            <w:tcW w:w="2756" w:type="dxa"/>
            <w:tcBorders>
              <w:bottom w:val="single" w:sz="4" w:space="0" w:color="auto"/>
            </w:tcBorders>
            <w:shd w:val="clear" w:color="auto" w:fill="auto"/>
            <w:noWrap/>
            <w:hideMark/>
          </w:tcPr>
          <w:p w14:paraId="522D1B27" w14:textId="6CF3066F" w:rsidR="0064797F" w:rsidRPr="0077606A" w:rsidRDefault="0064797F" w:rsidP="0016304F">
            <w:pPr>
              <w:spacing w:after="0"/>
              <w:rPr>
                <w:rFonts w:eastAsia="Times New Roman"/>
                <w:i/>
                <w:iCs/>
                <w:lang w:eastAsia="zh-CN"/>
              </w:rPr>
            </w:pPr>
            <w:r>
              <w:rPr>
                <w:rFonts w:eastAsia="Times New Roman"/>
                <w:i/>
                <w:iCs/>
                <w:lang w:eastAsia="zh-CN"/>
              </w:rPr>
              <w:t>Other</w:t>
            </w:r>
            <w:r w:rsidRPr="0077606A">
              <w:rPr>
                <w:rFonts w:eastAsia="Times New Roman"/>
                <w:i/>
                <w:iCs/>
                <w:lang w:eastAsia="zh-CN"/>
              </w:rPr>
              <w:t xml:space="preserve"> Qualifications</w:t>
            </w:r>
          </w:p>
        </w:tc>
        <w:tc>
          <w:tcPr>
            <w:tcW w:w="1438" w:type="dxa"/>
            <w:tcBorders>
              <w:bottom w:val="single" w:sz="4" w:space="0" w:color="auto"/>
            </w:tcBorders>
            <w:shd w:val="clear" w:color="auto" w:fill="auto"/>
            <w:noWrap/>
            <w:hideMark/>
          </w:tcPr>
          <w:p w14:paraId="27777CD0" w14:textId="001EB50A" w:rsidR="0064797F" w:rsidRPr="0077606A" w:rsidRDefault="0064797F" w:rsidP="0016304F">
            <w:pPr>
              <w:spacing w:after="0"/>
              <w:jc w:val="right"/>
              <w:rPr>
                <w:rFonts w:eastAsia="Times New Roman"/>
                <w:lang w:eastAsia="zh-CN"/>
              </w:rPr>
            </w:pPr>
            <w:r w:rsidRPr="00B14C93">
              <w:t>9</w:t>
            </w:r>
          </w:p>
        </w:tc>
        <w:tc>
          <w:tcPr>
            <w:tcW w:w="1438" w:type="dxa"/>
            <w:tcBorders>
              <w:bottom w:val="single" w:sz="4" w:space="0" w:color="auto"/>
            </w:tcBorders>
            <w:shd w:val="clear" w:color="auto" w:fill="auto"/>
            <w:noWrap/>
            <w:hideMark/>
          </w:tcPr>
          <w:p w14:paraId="2DFC02A4" w14:textId="3513E234" w:rsidR="0064797F" w:rsidRPr="0077606A" w:rsidRDefault="0064797F" w:rsidP="0016304F">
            <w:pPr>
              <w:spacing w:after="0"/>
              <w:jc w:val="right"/>
              <w:rPr>
                <w:rFonts w:eastAsia="Times New Roman"/>
                <w:lang w:eastAsia="zh-CN"/>
              </w:rPr>
            </w:pPr>
            <w:r w:rsidRPr="00B14C93">
              <w:t>2.3</w:t>
            </w:r>
          </w:p>
        </w:tc>
        <w:tc>
          <w:tcPr>
            <w:tcW w:w="1438" w:type="dxa"/>
            <w:tcBorders>
              <w:bottom w:val="single" w:sz="4" w:space="0" w:color="auto"/>
            </w:tcBorders>
            <w:shd w:val="clear" w:color="auto" w:fill="auto"/>
            <w:noWrap/>
            <w:hideMark/>
          </w:tcPr>
          <w:p w14:paraId="37FE2791" w14:textId="56D9A6C1" w:rsidR="0064797F" w:rsidRPr="0077606A" w:rsidRDefault="0064797F" w:rsidP="0016304F">
            <w:pPr>
              <w:spacing w:after="0"/>
              <w:jc w:val="right"/>
              <w:rPr>
                <w:rFonts w:eastAsia="Times New Roman"/>
                <w:lang w:eastAsia="zh-CN"/>
              </w:rPr>
            </w:pPr>
            <w:r w:rsidRPr="00B14C93">
              <w:t>3.1</w:t>
            </w:r>
          </w:p>
        </w:tc>
      </w:tr>
      <w:tr w:rsidR="00EE6146" w:rsidRPr="0077606A" w14:paraId="4E92C807" w14:textId="77777777" w:rsidTr="0064797F">
        <w:trPr>
          <w:trHeight w:val="255"/>
        </w:trPr>
        <w:tc>
          <w:tcPr>
            <w:tcW w:w="2172" w:type="dxa"/>
            <w:shd w:val="clear" w:color="auto" w:fill="auto"/>
            <w:noWrap/>
            <w:hideMark/>
          </w:tcPr>
          <w:p w14:paraId="4BDD52AB" w14:textId="77777777" w:rsidR="00EE6146" w:rsidRPr="0077606A" w:rsidRDefault="00EE6146" w:rsidP="0016304F">
            <w:pPr>
              <w:spacing w:after="0"/>
              <w:rPr>
                <w:rFonts w:eastAsia="Times New Roman"/>
                <w:b/>
                <w:bCs/>
                <w:lang w:eastAsia="zh-CN"/>
              </w:rPr>
            </w:pPr>
            <w:r w:rsidRPr="0077606A">
              <w:rPr>
                <w:rFonts w:eastAsia="Times New Roman"/>
                <w:b/>
                <w:bCs/>
                <w:lang w:eastAsia="zh-CN"/>
              </w:rPr>
              <w:t>Total</w:t>
            </w:r>
          </w:p>
        </w:tc>
        <w:tc>
          <w:tcPr>
            <w:tcW w:w="2756" w:type="dxa"/>
            <w:shd w:val="clear" w:color="auto" w:fill="auto"/>
            <w:noWrap/>
            <w:hideMark/>
          </w:tcPr>
          <w:p w14:paraId="04B93919" w14:textId="77777777" w:rsidR="00EE6146" w:rsidRPr="0077606A" w:rsidRDefault="00EE6146" w:rsidP="0016304F">
            <w:pPr>
              <w:spacing w:after="0"/>
              <w:rPr>
                <w:rFonts w:eastAsia="Times New Roman"/>
                <w:lang w:eastAsia="zh-CN"/>
              </w:rPr>
            </w:pPr>
          </w:p>
        </w:tc>
        <w:tc>
          <w:tcPr>
            <w:tcW w:w="1438" w:type="dxa"/>
            <w:shd w:val="clear" w:color="auto" w:fill="auto"/>
            <w:noWrap/>
            <w:hideMark/>
          </w:tcPr>
          <w:p w14:paraId="50D038CA" w14:textId="5AFFDA44" w:rsidR="00EE6146" w:rsidRPr="0077606A" w:rsidRDefault="00EE6146" w:rsidP="0016304F">
            <w:pPr>
              <w:spacing w:after="0"/>
              <w:jc w:val="right"/>
              <w:rPr>
                <w:rFonts w:eastAsia="Times New Roman"/>
                <w:lang w:eastAsia="zh-CN"/>
              </w:rPr>
            </w:pPr>
            <w:r w:rsidRPr="00F3490C">
              <w:t>100</w:t>
            </w:r>
          </w:p>
        </w:tc>
        <w:tc>
          <w:tcPr>
            <w:tcW w:w="1438" w:type="dxa"/>
            <w:shd w:val="clear" w:color="auto" w:fill="auto"/>
            <w:noWrap/>
            <w:hideMark/>
          </w:tcPr>
          <w:p w14:paraId="5F1F8CE0" w14:textId="24653E91" w:rsidR="00EE6146" w:rsidRPr="0077606A" w:rsidRDefault="00EE6146" w:rsidP="0016304F">
            <w:pPr>
              <w:spacing w:after="0"/>
              <w:jc w:val="right"/>
              <w:rPr>
                <w:rFonts w:eastAsia="Times New Roman"/>
                <w:lang w:eastAsia="zh-CN"/>
              </w:rPr>
            </w:pPr>
            <w:r w:rsidRPr="00F3490C">
              <w:t>100</w:t>
            </w:r>
          </w:p>
        </w:tc>
        <w:tc>
          <w:tcPr>
            <w:tcW w:w="1438" w:type="dxa"/>
            <w:shd w:val="clear" w:color="auto" w:fill="auto"/>
            <w:noWrap/>
            <w:hideMark/>
          </w:tcPr>
          <w:p w14:paraId="586C5201" w14:textId="5B1E0EAD" w:rsidR="00EE6146" w:rsidRPr="0077606A" w:rsidRDefault="00EE6146" w:rsidP="0016304F">
            <w:pPr>
              <w:spacing w:after="0"/>
              <w:jc w:val="right"/>
              <w:rPr>
                <w:rFonts w:eastAsia="Times New Roman"/>
                <w:lang w:eastAsia="zh-CN"/>
              </w:rPr>
            </w:pPr>
            <w:r w:rsidRPr="00F3490C">
              <w:t>100</w:t>
            </w:r>
          </w:p>
        </w:tc>
      </w:tr>
      <w:tr w:rsidR="00B16077" w:rsidRPr="0077606A" w14:paraId="281D42D9" w14:textId="77777777" w:rsidTr="0064797F">
        <w:trPr>
          <w:trHeight w:val="255"/>
        </w:trPr>
        <w:tc>
          <w:tcPr>
            <w:tcW w:w="2172" w:type="dxa"/>
            <w:shd w:val="clear" w:color="auto" w:fill="auto"/>
            <w:noWrap/>
            <w:hideMark/>
          </w:tcPr>
          <w:p w14:paraId="7010A24F" w14:textId="77777777" w:rsidR="00B16077" w:rsidRPr="0077606A" w:rsidRDefault="00B16077" w:rsidP="0016304F">
            <w:pPr>
              <w:spacing w:after="0"/>
              <w:rPr>
                <w:rFonts w:eastAsia="Times New Roman"/>
                <w:b/>
                <w:bCs/>
                <w:lang w:eastAsia="zh-CN"/>
              </w:rPr>
            </w:pPr>
            <w:r w:rsidRPr="0077606A">
              <w:rPr>
                <w:rFonts w:eastAsia="Times New Roman"/>
                <w:b/>
                <w:bCs/>
                <w:lang w:eastAsia="zh-CN"/>
              </w:rPr>
              <w:t>N=</w:t>
            </w:r>
          </w:p>
        </w:tc>
        <w:tc>
          <w:tcPr>
            <w:tcW w:w="2756" w:type="dxa"/>
            <w:shd w:val="clear" w:color="auto" w:fill="auto"/>
            <w:noWrap/>
            <w:hideMark/>
          </w:tcPr>
          <w:p w14:paraId="492FB4DF" w14:textId="77777777" w:rsidR="00B16077" w:rsidRPr="0077606A" w:rsidRDefault="00B16077" w:rsidP="0016304F">
            <w:pPr>
              <w:spacing w:after="0"/>
              <w:rPr>
                <w:rFonts w:eastAsia="Times New Roman"/>
                <w:lang w:eastAsia="zh-CN"/>
              </w:rPr>
            </w:pPr>
          </w:p>
        </w:tc>
        <w:tc>
          <w:tcPr>
            <w:tcW w:w="1438" w:type="dxa"/>
            <w:shd w:val="clear" w:color="auto" w:fill="auto"/>
            <w:noWrap/>
            <w:hideMark/>
          </w:tcPr>
          <w:p w14:paraId="463AB8BC" w14:textId="32FC3773" w:rsidR="00B16077" w:rsidRPr="0077606A" w:rsidRDefault="00B16077" w:rsidP="0016304F">
            <w:pPr>
              <w:spacing w:after="0"/>
              <w:jc w:val="right"/>
              <w:rPr>
                <w:rFonts w:eastAsia="Times New Roman"/>
                <w:lang w:eastAsia="zh-CN"/>
              </w:rPr>
            </w:pPr>
            <w:r w:rsidRPr="0061352C">
              <w:t>700</w:t>
            </w:r>
            <w:r>
              <w:t>,</w:t>
            </w:r>
            <w:r w:rsidRPr="0061352C">
              <w:t>363</w:t>
            </w:r>
          </w:p>
        </w:tc>
        <w:tc>
          <w:tcPr>
            <w:tcW w:w="1438" w:type="dxa"/>
            <w:shd w:val="clear" w:color="auto" w:fill="auto"/>
            <w:noWrap/>
            <w:hideMark/>
          </w:tcPr>
          <w:p w14:paraId="55CDE973" w14:textId="59F534DE" w:rsidR="00B16077" w:rsidRPr="0077606A" w:rsidRDefault="00B16077" w:rsidP="0016304F">
            <w:pPr>
              <w:spacing w:after="0"/>
              <w:jc w:val="right"/>
              <w:rPr>
                <w:rFonts w:eastAsia="Times New Roman"/>
                <w:lang w:eastAsia="zh-CN"/>
              </w:rPr>
            </w:pPr>
            <w:r w:rsidRPr="0061352C">
              <w:t>4</w:t>
            </w:r>
            <w:r>
              <w:t>,</w:t>
            </w:r>
            <w:r w:rsidRPr="0061352C">
              <w:t>925</w:t>
            </w:r>
            <w:r>
              <w:t>,</w:t>
            </w:r>
            <w:r w:rsidRPr="0061352C">
              <w:t>358</w:t>
            </w:r>
          </w:p>
        </w:tc>
        <w:tc>
          <w:tcPr>
            <w:tcW w:w="1438" w:type="dxa"/>
            <w:shd w:val="clear" w:color="auto" w:fill="auto"/>
            <w:noWrap/>
            <w:hideMark/>
          </w:tcPr>
          <w:p w14:paraId="5781C2DB" w14:textId="33EB9D84" w:rsidR="00B16077" w:rsidRPr="0077606A" w:rsidRDefault="00B16077" w:rsidP="0016304F">
            <w:pPr>
              <w:spacing w:after="0"/>
              <w:jc w:val="right"/>
              <w:rPr>
                <w:rFonts w:eastAsia="Times New Roman"/>
                <w:lang w:eastAsia="zh-CN"/>
              </w:rPr>
            </w:pPr>
            <w:r w:rsidRPr="0061352C">
              <w:t>5</w:t>
            </w:r>
            <w:r>
              <w:t>,</w:t>
            </w:r>
            <w:r w:rsidRPr="0061352C">
              <w:t>625</w:t>
            </w:r>
            <w:r>
              <w:t>,</w:t>
            </w:r>
            <w:r w:rsidRPr="0061352C">
              <w:t>721</w:t>
            </w:r>
          </w:p>
        </w:tc>
      </w:tr>
      <w:tr w:rsidR="00EE6146" w:rsidRPr="0077606A" w14:paraId="0885C6FE" w14:textId="77777777" w:rsidTr="0064797F">
        <w:trPr>
          <w:trHeight w:val="255"/>
        </w:trPr>
        <w:tc>
          <w:tcPr>
            <w:tcW w:w="9242" w:type="dxa"/>
            <w:gridSpan w:val="5"/>
            <w:shd w:val="clear" w:color="auto" w:fill="auto"/>
            <w:noWrap/>
            <w:hideMark/>
          </w:tcPr>
          <w:p w14:paraId="059A38E8" w14:textId="7BCE2429" w:rsidR="00EE6146" w:rsidRPr="0077606A" w:rsidRDefault="00EE6146" w:rsidP="0016304F">
            <w:pPr>
              <w:spacing w:after="0"/>
              <w:rPr>
                <w:rFonts w:eastAsia="Times New Roman"/>
                <w:lang w:eastAsia="zh-CN"/>
              </w:rPr>
            </w:pPr>
            <w:r w:rsidRPr="0077606A">
              <w:rPr>
                <w:rFonts w:eastAsia="Times New Roman"/>
                <w:lang w:eastAsia="zh-CN"/>
              </w:rPr>
              <w:t>Crown copyright material is reproduced with the permission of the Controller of HMSO and the Queen</w:t>
            </w:r>
            <w:r>
              <w:rPr>
                <w:rFonts w:eastAsia="Times New Roman"/>
                <w:lang w:eastAsia="zh-CN"/>
              </w:rPr>
              <w:t>’</w:t>
            </w:r>
            <w:r w:rsidRPr="0077606A">
              <w:rPr>
                <w:rFonts w:eastAsia="Times New Roman"/>
                <w:lang w:eastAsia="zh-CN"/>
              </w:rPr>
              <w:t>s Printer for Scotland</w:t>
            </w:r>
          </w:p>
        </w:tc>
      </w:tr>
    </w:tbl>
    <w:p w14:paraId="0F2FC648" w14:textId="71068EEB" w:rsidR="00561FF5" w:rsidRPr="00264A95" w:rsidRDefault="003B6506" w:rsidP="0016304F">
      <w:pPr>
        <w:pStyle w:val="Sourcereference"/>
      </w:pPr>
      <w:r w:rsidRPr="00264A95">
        <w:t>Source: Quarterly Labour Force Survey, April-June, 201</w:t>
      </w:r>
      <w:r w:rsidR="00293F47">
        <w:t>7</w:t>
      </w:r>
      <w:r w:rsidRPr="00264A95">
        <w:t xml:space="preserve"> </w:t>
      </w:r>
      <w:r w:rsidR="00162ECF" w:rsidRPr="00264A95">
        <w:t xml:space="preserve">(using </w:t>
      </w:r>
      <w:r w:rsidR="0070390E" w:rsidRPr="00264A95">
        <w:t>GSS Harmonised</w:t>
      </w:r>
      <w:r w:rsidR="00162ECF" w:rsidRPr="00264A95">
        <w:t xml:space="preserve"> </w:t>
      </w:r>
      <w:r w:rsidR="0070390E" w:rsidRPr="00264A95">
        <w:t xml:space="preserve">disability </w:t>
      </w:r>
      <w:r w:rsidR="00162ECF" w:rsidRPr="00264A95">
        <w:t>definition</w:t>
      </w:r>
      <w:r w:rsidR="00B16077">
        <w:t xml:space="preserve"> and person weights</w:t>
      </w:r>
      <w:r w:rsidR="00162ECF" w:rsidRPr="00264A95">
        <w:t>)</w:t>
      </w:r>
    </w:p>
    <w:p w14:paraId="36D680FD" w14:textId="77777777" w:rsidR="00E9245F" w:rsidRDefault="00E9245F" w:rsidP="0016304F">
      <w:pPr>
        <w:spacing w:after="0"/>
        <w:rPr>
          <w:i/>
          <w:iCs/>
        </w:rPr>
      </w:pPr>
    </w:p>
    <w:p w14:paraId="5E1F32AA" w14:textId="02F729C4" w:rsidR="00E9245F" w:rsidRDefault="00E9245F" w:rsidP="0016304F">
      <w:pPr>
        <w:spacing w:after="0"/>
        <w:rPr>
          <w:iCs/>
        </w:rPr>
      </w:pPr>
      <w:r>
        <w:rPr>
          <w:iCs/>
        </w:rPr>
        <w:t xml:space="preserve">Finally, the </w:t>
      </w:r>
      <w:r w:rsidRPr="00E9245F">
        <w:rPr>
          <w:i/>
          <w:iCs/>
        </w:rPr>
        <w:t>Progress Report 2014</w:t>
      </w:r>
      <w:r w:rsidRPr="00E9245F">
        <w:rPr>
          <w:iCs/>
        </w:rPr>
        <w:t xml:space="preserve"> supporting the disability strategy</w:t>
      </w:r>
      <w:r>
        <w:rPr>
          <w:iCs/>
        </w:rPr>
        <w:t xml:space="preserve"> provided administrative data on the proportion of 16-18 with learning difficulties or disabilities </w:t>
      </w:r>
      <w:r>
        <w:rPr>
          <w:iCs/>
        </w:rPr>
        <w:lastRenderedPageBreak/>
        <w:t xml:space="preserve">who were NEET, estimating this at 15.6% in 2006, falling to 10.6% in 2012 </w:t>
      </w:r>
      <w:r w:rsidRPr="00E9245F">
        <w:rPr>
          <w:iCs/>
        </w:rPr>
        <w:t xml:space="preserve">(Table </w:t>
      </w:r>
      <w:r>
        <w:rPr>
          <w:iCs/>
        </w:rPr>
        <w:t>1.13 and 1.14</w:t>
      </w:r>
      <w:r w:rsidRPr="00E9245F">
        <w:rPr>
          <w:iCs/>
        </w:rPr>
        <w:t>, not since updated).</w:t>
      </w:r>
      <w:r w:rsidRPr="00E9245F">
        <w:rPr>
          <w:iCs/>
          <w:vertAlign w:val="superscript"/>
        </w:rPr>
        <w:footnoteReference w:id="28"/>
      </w:r>
    </w:p>
    <w:p w14:paraId="5F09F86D" w14:textId="77777777" w:rsidR="0070018F" w:rsidRPr="00286B5C" w:rsidRDefault="0070018F" w:rsidP="0016304F">
      <w:pPr>
        <w:spacing w:after="0"/>
        <w:rPr>
          <w:iCs/>
        </w:rPr>
      </w:pPr>
    </w:p>
    <w:p w14:paraId="66EF2F8D" w14:textId="77777777" w:rsidR="00561FF5" w:rsidRDefault="00561FF5" w:rsidP="0016304F">
      <w:pPr>
        <w:pStyle w:val="Heading3"/>
      </w:pPr>
      <w:bookmarkStart w:id="11" w:name="_Toc511056639"/>
      <w:r w:rsidRPr="0077606A">
        <w:t>Tertiary education</w:t>
      </w:r>
      <w:bookmarkEnd w:id="11"/>
    </w:p>
    <w:p w14:paraId="01002033" w14:textId="77777777" w:rsidR="004F5C94" w:rsidRPr="004F5C94" w:rsidRDefault="004F5C94" w:rsidP="0016304F">
      <w:pPr>
        <w:spacing w:after="0"/>
      </w:pPr>
    </w:p>
    <w:p w14:paraId="7080EDE1" w14:textId="4B5E7582" w:rsidR="00404D1C" w:rsidRDefault="00404D1C" w:rsidP="0016304F">
      <w:pPr>
        <w:pStyle w:val="BodyText"/>
        <w:spacing w:after="0"/>
      </w:pPr>
      <w:r>
        <w:t>The EU-SILC sample for the target age group (aged 30-34) includes the following number of people reporting activity ‘limitation’ (a proxy for impairment/disability) although the number of missing observations is larger than the number of observations for activity limitation.</w:t>
      </w:r>
    </w:p>
    <w:p w14:paraId="01CEE415" w14:textId="77777777" w:rsidR="0016304F" w:rsidRDefault="0016304F" w:rsidP="0016304F">
      <w:pPr>
        <w:pStyle w:val="BodyText"/>
        <w:spacing w:after="0"/>
      </w:pPr>
    </w:p>
    <w:p w14:paraId="1D32B718"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14</w:t>
      </w:r>
      <w:r w:rsidR="0016304F">
        <w:rPr>
          <w:noProof/>
        </w:rPr>
        <w:fldChar w:fldCharType="end"/>
      </w:r>
      <w:r>
        <w:t>: EU-SILC sample size for the target age group 30-34 versus 30-39</w:t>
      </w:r>
    </w:p>
    <w:tbl>
      <w:tblPr>
        <w:tblStyle w:val="TableGrid"/>
        <w:tblW w:w="0" w:type="auto"/>
        <w:tblLook w:val="04A0" w:firstRow="1" w:lastRow="0" w:firstColumn="1" w:lastColumn="0" w:noHBand="0" w:noVBand="1"/>
      </w:tblPr>
      <w:tblGrid>
        <w:gridCol w:w="1710"/>
        <w:gridCol w:w="1989"/>
        <w:gridCol w:w="1777"/>
        <w:gridCol w:w="1989"/>
        <w:gridCol w:w="1777"/>
      </w:tblGrid>
      <w:tr w:rsidR="00404D1C" w:rsidRPr="0016304F" w14:paraId="2F583C8E" w14:textId="77777777" w:rsidTr="0056154D">
        <w:tc>
          <w:tcPr>
            <w:tcW w:w="0" w:type="auto"/>
          </w:tcPr>
          <w:p w14:paraId="3DA6CBFE" w14:textId="77777777" w:rsidR="00404D1C" w:rsidRPr="0016304F" w:rsidRDefault="00404D1C" w:rsidP="0016304F">
            <w:pPr>
              <w:spacing w:after="0"/>
              <w:rPr>
                <w:b/>
              </w:rPr>
            </w:pPr>
          </w:p>
        </w:tc>
        <w:tc>
          <w:tcPr>
            <w:tcW w:w="0" w:type="auto"/>
            <w:gridSpan w:val="2"/>
          </w:tcPr>
          <w:p w14:paraId="42EC928F" w14:textId="77777777" w:rsidR="00404D1C" w:rsidRPr="0016304F" w:rsidRDefault="00404D1C" w:rsidP="0016304F">
            <w:pPr>
              <w:spacing w:after="0"/>
              <w:jc w:val="center"/>
              <w:rPr>
                <w:b/>
              </w:rPr>
            </w:pPr>
            <w:r w:rsidRPr="0016304F">
              <w:rPr>
                <w:b/>
              </w:rPr>
              <w:t>Age 30-34</w:t>
            </w:r>
          </w:p>
        </w:tc>
        <w:tc>
          <w:tcPr>
            <w:tcW w:w="0" w:type="auto"/>
            <w:gridSpan w:val="2"/>
          </w:tcPr>
          <w:p w14:paraId="08BF5623" w14:textId="77777777" w:rsidR="00404D1C" w:rsidRPr="0016304F" w:rsidRDefault="00404D1C" w:rsidP="0016304F">
            <w:pPr>
              <w:spacing w:after="0"/>
              <w:jc w:val="center"/>
              <w:rPr>
                <w:b/>
              </w:rPr>
            </w:pPr>
            <w:r w:rsidRPr="0016304F">
              <w:rPr>
                <w:b/>
              </w:rPr>
              <w:t>Age 30-39</w:t>
            </w:r>
          </w:p>
        </w:tc>
      </w:tr>
      <w:tr w:rsidR="00404D1C" w:rsidRPr="0016304F" w14:paraId="5C6C6684" w14:textId="77777777" w:rsidTr="0056154D">
        <w:tc>
          <w:tcPr>
            <w:tcW w:w="0" w:type="auto"/>
          </w:tcPr>
          <w:p w14:paraId="6717E422" w14:textId="77777777" w:rsidR="00404D1C" w:rsidRPr="0016304F" w:rsidRDefault="00404D1C" w:rsidP="0016304F">
            <w:pPr>
              <w:spacing w:after="0"/>
              <w:jc w:val="center"/>
              <w:rPr>
                <w:b/>
              </w:rPr>
            </w:pPr>
          </w:p>
        </w:tc>
        <w:tc>
          <w:tcPr>
            <w:tcW w:w="0" w:type="auto"/>
          </w:tcPr>
          <w:p w14:paraId="1A97D04F" w14:textId="77777777" w:rsidR="00404D1C" w:rsidRPr="0016304F" w:rsidRDefault="00404D1C" w:rsidP="0016304F">
            <w:pPr>
              <w:spacing w:after="0"/>
              <w:jc w:val="center"/>
            </w:pPr>
            <w:r w:rsidRPr="0016304F">
              <w:t>No activity ‘limitation’</w:t>
            </w:r>
          </w:p>
        </w:tc>
        <w:tc>
          <w:tcPr>
            <w:tcW w:w="0" w:type="auto"/>
          </w:tcPr>
          <w:p w14:paraId="4D1F2603" w14:textId="77777777" w:rsidR="00404D1C" w:rsidRPr="0016304F" w:rsidRDefault="00404D1C" w:rsidP="0016304F">
            <w:pPr>
              <w:spacing w:after="0"/>
              <w:jc w:val="center"/>
            </w:pPr>
            <w:r w:rsidRPr="0016304F">
              <w:t>Activity ‘limitation’</w:t>
            </w:r>
          </w:p>
        </w:tc>
        <w:tc>
          <w:tcPr>
            <w:tcW w:w="0" w:type="auto"/>
          </w:tcPr>
          <w:p w14:paraId="3F022D96" w14:textId="77777777" w:rsidR="00404D1C" w:rsidRPr="0016304F" w:rsidRDefault="00404D1C" w:rsidP="0016304F">
            <w:pPr>
              <w:spacing w:after="0"/>
              <w:jc w:val="center"/>
            </w:pPr>
            <w:r w:rsidRPr="0016304F">
              <w:t>No activity ‘limitation’</w:t>
            </w:r>
          </w:p>
        </w:tc>
        <w:tc>
          <w:tcPr>
            <w:tcW w:w="0" w:type="auto"/>
          </w:tcPr>
          <w:p w14:paraId="519BADEE" w14:textId="77777777" w:rsidR="00404D1C" w:rsidRPr="0016304F" w:rsidRDefault="00404D1C" w:rsidP="0016304F">
            <w:pPr>
              <w:spacing w:after="0"/>
              <w:jc w:val="center"/>
            </w:pPr>
            <w:r w:rsidRPr="0016304F">
              <w:t>Activity ‘limitation’</w:t>
            </w:r>
          </w:p>
        </w:tc>
      </w:tr>
      <w:tr w:rsidR="00404D1C" w:rsidRPr="0016304F" w14:paraId="37E7D3FA" w14:textId="77777777" w:rsidTr="0056154D">
        <w:tc>
          <w:tcPr>
            <w:tcW w:w="0" w:type="auto"/>
          </w:tcPr>
          <w:p w14:paraId="45A5B4BD" w14:textId="77777777" w:rsidR="00404D1C" w:rsidRPr="0016304F" w:rsidRDefault="00404D1C" w:rsidP="0016304F">
            <w:pPr>
              <w:spacing w:after="0"/>
              <w:rPr>
                <w:b/>
              </w:rPr>
            </w:pPr>
            <w:r w:rsidRPr="0016304F">
              <w:rPr>
                <w:b/>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11387E3" w14:textId="77777777" w:rsidR="00404D1C" w:rsidRPr="0016304F" w:rsidRDefault="00404D1C" w:rsidP="0016304F">
            <w:pPr>
              <w:tabs>
                <w:tab w:val="center" w:pos="898"/>
                <w:tab w:val="right" w:pos="1797"/>
              </w:tabs>
              <w:spacing w:after="0"/>
              <w:jc w:val="right"/>
            </w:pPr>
            <w:r w:rsidRPr="0016304F">
              <w:rPr>
                <w:color w:val="000000"/>
              </w:rPr>
              <w:t>23,233</w:t>
            </w:r>
          </w:p>
        </w:tc>
        <w:tc>
          <w:tcPr>
            <w:tcW w:w="0" w:type="auto"/>
            <w:tcBorders>
              <w:top w:val="single" w:sz="4" w:space="0" w:color="auto"/>
              <w:left w:val="nil"/>
              <w:bottom w:val="single" w:sz="4" w:space="0" w:color="auto"/>
              <w:right w:val="single" w:sz="4" w:space="0" w:color="auto"/>
            </w:tcBorders>
            <w:shd w:val="clear" w:color="auto" w:fill="auto"/>
            <w:vAlign w:val="bottom"/>
          </w:tcPr>
          <w:p w14:paraId="6550BF0B" w14:textId="77777777" w:rsidR="00404D1C" w:rsidRPr="0016304F" w:rsidRDefault="00404D1C" w:rsidP="0016304F">
            <w:pPr>
              <w:spacing w:after="0"/>
              <w:jc w:val="right"/>
            </w:pPr>
            <w:r w:rsidRPr="0016304F">
              <w:rPr>
                <w:color w:val="000000"/>
              </w:rPr>
              <w:t>2,793</w:t>
            </w:r>
          </w:p>
        </w:tc>
        <w:tc>
          <w:tcPr>
            <w:tcW w:w="0" w:type="auto"/>
            <w:tcBorders>
              <w:top w:val="single" w:sz="4" w:space="0" w:color="auto"/>
              <w:left w:val="nil"/>
              <w:bottom w:val="single" w:sz="4" w:space="0" w:color="auto"/>
              <w:right w:val="single" w:sz="4" w:space="0" w:color="auto"/>
            </w:tcBorders>
            <w:shd w:val="clear" w:color="auto" w:fill="auto"/>
            <w:vAlign w:val="bottom"/>
          </w:tcPr>
          <w:p w14:paraId="65BDEFF2" w14:textId="77777777" w:rsidR="00404D1C" w:rsidRPr="0016304F" w:rsidRDefault="00404D1C" w:rsidP="0016304F">
            <w:pPr>
              <w:spacing w:after="0"/>
              <w:jc w:val="right"/>
            </w:pPr>
            <w:r w:rsidRPr="0016304F">
              <w:rPr>
                <w:color w:val="000000"/>
              </w:rPr>
              <w:t>49,559</w:t>
            </w:r>
          </w:p>
        </w:tc>
        <w:tc>
          <w:tcPr>
            <w:tcW w:w="0" w:type="auto"/>
            <w:tcBorders>
              <w:top w:val="single" w:sz="4" w:space="0" w:color="auto"/>
              <w:left w:val="nil"/>
              <w:bottom w:val="single" w:sz="4" w:space="0" w:color="auto"/>
              <w:right w:val="single" w:sz="4" w:space="0" w:color="auto"/>
            </w:tcBorders>
            <w:shd w:val="clear" w:color="auto" w:fill="auto"/>
            <w:vAlign w:val="bottom"/>
          </w:tcPr>
          <w:p w14:paraId="42AB123F" w14:textId="77777777" w:rsidR="00404D1C" w:rsidRPr="0016304F" w:rsidRDefault="00404D1C" w:rsidP="0016304F">
            <w:pPr>
              <w:spacing w:after="0"/>
              <w:jc w:val="right"/>
            </w:pPr>
            <w:r w:rsidRPr="0016304F">
              <w:rPr>
                <w:color w:val="000000"/>
              </w:rPr>
              <w:t>6,572</w:t>
            </w:r>
          </w:p>
        </w:tc>
      </w:tr>
      <w:tr w:rsidR="00404D1C" w:rsidRPr="0016304F" w14:paraId="48B02084" w14:textId="77777777" w:rsidTr="0056154D">
        <w:tc>
          <w:tcPr>
            <w:tcW w:w="0" w:type="auto"/>
          </w:tcPr>
          <w:p w14:paraId="53BBF689" w14:textId="77777777" w:rsidR="00404D1C" w:rsidRPr="0016304F" w:rsidRDefault="00404D1C" w:rsidP="0016304F">
            <w:pPr>
              <w:spacing w:after="0"/>
              <w:rPr>
                <w:b/>
              </w:rPr>
            </w:pPr>
            <w:r w:rsidRPr="0016304F">
              <w:rPr>
                <w:b/>
              </w:rPr>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CEDC201" w14:textId="77777777" w:rsidR="00404D1C" w:rsidRPr="0016304F" w:rsidRDefault="00404D1C" w:rsidP="0016304F">
            <w:pPr>
              <w:spacing w:after="0"/>
              <w:jc w:val="right"/>
            </w:pPr>
            <w:r w:rsidRPr="0016304F">
              <w:rPr>
                <w:color w:val="000000"/>
              </w:rPr>
              <w:t>1,088</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9134" w14:textId="77777777" w:rsidR="00404D1C" w:rsidRPr="0016304F" w:rsidRDefault="00404D1C" w:rsidP="0016304F">
            <w:pPr>
              <w:spacing w:after="0"/>
              <w:jc w:val="right"/>
            </w:pPr>
            <w:r w:rsidRPr="0016304F">
              <w:rPr>
                <w:color w:val="000000"/>
              </w:rPr>
              <w:t>168</w:t>
            </w:r>
          </w:p>
        </w:tc>
        <w:tc>
          <w:tcPr>
            <w:tcW w:w="0" w:type="auto"/>
            <w:tcBorders>
              <w:top w:val="single" w:sz="4" w:space="0" w:color="auto"/>
              <w:left w:val="nil"/>
              <w:bottom w:val="single" w:sz="4" w:space="0" w:color="auto"/>
              <w:right w:val="single" w:sz="4" w:space="0" w:color="auto"/>
            </w:tcBorders>
            <w:shd w:val="clear" w:color="auto" w:fill="auto"/>
            <w:vAlign w:val="bottom"/>
          </w:tcPr>
          <w:p w14:paraId="2D276703" w14:textId="77777777" w:rsidR="00404D1C" w:rsidRPr="0016304F" w:rsidRDefault="00404D1C" w:rsidP="0016304F">
            <w:pPr>
              <w:spacing w:after="0"/>
              <w:jc w:val="right"/>
            </w:pPr>
            <w:r w:rsidRPr="0016304F">
              <w:rPr>
                <w:color w:val="000000"/>
              </w:rPr>
              <w:t>2,214</w:t>
            </w:r>
          </w:p>
        </w:tc>
        <w:tc>
          <w:tcPr>
            <w:tcW w:w="0" w:type="auto"/>
            <w:tcBorders>
              <w:top w:val="single" w:sz="4" w:space="0" w:color="auto"/>
              <w:left w:val="nil"/>
              <w:bottom w:val="single" w:sz="4" w:space="0" w:color="auto"/>
              <w:right w:val="single" w:sz="4" w:space="0" w:color="auto"/>
            </w:tcBorders>
            <w:shd w:val="clear" w:color="auto" w:fill="auto"/>
            <w:vAlign w:val="bottom"/>
          </w:tcPr>
          <w:p w14:paraId="5BA79FF3" w14:textId="77777777" w:rsidR="00404D1C" w:rsidRPr="0016304F" w:rsidRDefault="00404D1C" w:rsidP="0016304F">
            <w:pPr>
              <w:spacing w:after="0"/>
            </w:pPr>
            <w:r w:rsidRPr="0016304F">
              <w:rPr>
                <w:color w:val="000000"/>
              </w:rPr>
              <w:t>334</w:t>
            </w:r>
          </w:p>
        </w:tc>
      </w:tr>
    </w:tbl>
    <w:p w14:paraId="27DC4FBB" w14:textId="77777777" w:rsidR="00404D1C" w:rsidRDefault="00404D1C" w:rsidP="0016304F">
      <w:pPr>
        <w:pStyle w:val="Sourcereference"/>
        <w:rPr>
          <w:lang w:eastAsia="en-GB"/>
        </w:rPr>
      </w:pPr>
      <w:r w:rsidRPr="00B429ED">
        <w:t xml:space="preserve">Source: </w:t>
      </w:r>
      <w:r w:rsidRPr="00B429ED">
        <w:rPr>
          <w:lang w:eastAsia="en-GB"/>
        </w:rPr>
        <w:t xml:space="preserve">EUSILC UDB </w:t>
      </w:r>
      <w:r>
        <w:rPr>
          <w:lang w:eastAsia="en-GB"/>
        </w:rPr>
        <w:t>2015</w:t>
      </w:r>
      <w:r w:rsidRPr="00B429ED">
        <w:rPr>
          <w:lang w:eastAsia="en-GB"/>
        </w:rPr>
        <w:t xml:space="preserve"> – version </w:t>
      </w:r>
      <w:r>
        <w:rPr>
          <w:lang w:eastAsia="en-GB"/>
        </w:rPr>
        <w:t>of October 2017</w:t>
      </w:r>
    </w:p>
    <w:p w14:paraId="49EB825D" w14:textId="77777777" w:rsidR="00404D1C" w:rsidRPr="00B429ED" w:rsidRDefault="00404D1C" w:rsidP="0016304F">
      <w:pPr>
        <w:spacing w:after="0"/>
        <w:rPr>
          <w:lang w:eastAsia="en-GB"/>
        </w:rPr>
      </w:pPr>
    </w:p>
    <w:p w14:paraId="6AF503EC"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15</w:t>
      </w:r>
      <w:r w:rsidR="0016304F">
        <w:rPr>
          <w:noProof/>
        </w:rPr>
        <w:fldChar w:fldCharType="end"/>
      </w:r>
      <w:r>
        <w:t xml:space="preserve">: </w:t>
      </w:r>
      <w:r>
        <w:rPr>
          <w:noProof/>
        </w:rPr>
        <w:t>Completion of tertiary or equivalent education (indicative based on above sample)</w:t>
      </w:r>
    </w:p>
    <w:p w14:paraId="54A46247" w14:textId="77777777" w:rsidR="00404D1C" w:rsidRDefault="00404D1C" w:rsidP="0016304F">
      <w:pPr>
        <w:spacing w:after="0"/>
      </w:pPr>
      <w:r>
        <w:rPr>
          <w:noProof/>
          <w:lang w:eastAsia="en-GB"/>
        </w:rPr>
        <w:drawing>
          <wp:inline distT="0" distB="0" distL="0" distR="0" wp14:anchorId="676E238C" wp14:editId="0756A58D">
            <wp:extent cx="5486400" cy="2364059"/>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5B2D36" w14:textId="31FB6B90"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155A4968" w14:textId="77777777" w:rsidR="0016304F" w:rsidRDefault="0016304F" w:rsidP="0016304F">
      <w:pPr>
        <w:pStyle w:val="Sourcereference"/>
        <w:rPr>
          <w:lang w:eastAsia="en-GB"/>
        </w:rPr>
      </w:pPr>
    </w:p>
    <w:p w14:paraId="61E24E47" w14:textId="77777777" w:rsidR="00404D1C" w:rsidRDefault="00404D1C" w:rsidP="0016304F">
      <w:pPr>
        <w:pStyle w:val="BodyText"/>
        <w:spacing w:after="0"/>
      </w:pPr>
      <w:r>
        <w:t>The survey sample is not sufficient to provide robust trend data disaggregated by gender in the narrow EU2020 target age group. In general the achievement of tertiary education was higher for women than for men in both disabled and non-disabled groups.</w:t>
      </w:r>
    </w:p>
    <w:p w14:paraId="41E1D595" w14:textId="77777777" w:rsidR="00404D1C" w:rsidRDefault="00404D1C" w:rsidP="0016304F">
      <w:pPr>
        <w:pStyle w:val="Caption"/>
        <w:keepNext/>
      </w:pPr>
      <w:r>
        <w:lastRenderedPageBreak/>
        <w:t xml:space="preserve">Table </w:t>
      </w:r>
      <w:r w:rsidR="0016304F">
        <w:fldChar w:fldCharType="begin"/>
      </w:r>
      <w:r w:rsidR="0016304F">
        <w:instrText xml:space="preserve"> SEQ Table \* ARABIC </w:instrText>
      </w:r>
      <w:r w:rsidR="0016304F">
        <w:fldChar w:fldCharType="separate"/>
      </w:r>
      <w:r>
        <w:rPr>
          <w:noProof/>
        </w:rPr>
        <w:t>16</w:t>
      </w:r>
      <w:r w:rsidR="0016304F">
        <w:rPr>
          <w:noProof/>
        </w:rPr>
        <w:fldChar w:fldCharType="end"/>
      </w:r>
      <w:r>
        <w:t>: Trends in tertiary education by disability (aged 30-34)</w:t>
      </w:r>
    </w:p>
    <w:p w14:paraId="0FCB7C2A" w14:textId="77777777" w:rsidR="00404D1C" w:rsidRDefault="00404D1C" w:rsidP="0016304F">
      <w:pPr>
        <w:spacing w:after="0"/>
      </w:pPr>
      <w:r>
        <w:rPr>
          <w:noProof/>
          <w:lang w:eastAsia="en-GB"/>
        </w:rPr>
        <w:drawing>
          <wp:inline distT="0" distB="0" distL="0" distR="0" wp14:anchorId="2219D715" wp14:editId="545D17B2">
            <wp:extent cx="5486400" cy="3980329"/>
            <wp:effectExtent l="0" t="0" r="1905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67123B" w14:textId="7D1D401D"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r w:rsidRPr="00E024C9">
        <w:rPr>
          <w:lang w:eastAsia="en-GB"/>
        </w:rPr>
        <w:t xml:space="preserve"> (and preceding UDBs)</w:t>
      </w:r>
    </w:p>
    <w:p w14:paraId="66319E94" w14:textId="77777777" w:rsidR="0016304F" w:rsidRDefault="0016304F" w:rsidP="0016304F">
      <w:pPr>
        <w:pStyle w:val="Sourcereference"/>
        <w:rPr>
          <w:lang w:eastAsia="en-GB"/>
        </w:rPr>
      </w:pPr>
    </w:p>
    <w:p w14:paraId="51138C6A" w14:textId="69331309" w:rsidR="00DF1931" w:rsidRPr="00286B5C" w:rsidRDefault="00404D1C" w:rsidP="0016304F">
      <w:pPr>
        <w:spacing w:after="0"/>
        <w:rPr>
          <w:i/>
          <w:sz w:val="20"/>
          <w:szCs w:val="20"/>
        </w:rPr>
      </w:pPr>
      <w:r>
        <w:rPr>
          <w:lang w:eastAsia="en-GB"/>
        </w:rPr>
        <w:t>Fluctuations in trends for people with impairments should be treated with caution</w:t>
      </w:r>
      <w:r w:rsidRPr="003F195C">
        <w:rPr>
          <w:lang w:eastAsia="en-GB"/>
        </w:rPr>
        <w:t xml:space="preserve"> </w:t>
      </w:r>
      <w:r>
        <w:rPr>
          <w:lang w:eastAsia="en-GB"/>
        </w:rPr>
        <w:t>at the national level. The UK disability trends are difficult to interpret precisely. Indicative linear trend lines are added for illustration only</w:t>
      </w:r>
      <w:r w:rsidR="00DF1931" w:rsidRPr="00286B5C">
        <w:rPr>
          <w:i/>
          <w:sz w:val="20"/>
          <w:szCs w:val="20"/>
        </w:rPr>
        <w:t>.</w:t>
      </w:r>
    </w:p>
    <w:p w14:paraId="74C5AB59" w14:textId="77777777" w:rsidR="004F5C94" w:rsidRPr="0077606A" w:rsidRDefault="004F5C94" w:rsidP="0016304F">
      <w:pPr>
        <w:spacing w:after="0"/>
        <w:rPr>
          <w:i/>
        </w:rPr>
      </w:pPr>
    </w:p>
    <w:p w14:paraId="5E4B6E01" w14:textId="77777777" w:rsidR="00D939BF" w:rsidRDefault="00D939BF" w:rsidP="0016304F">
      <w:pPr>
        <w:pStyle w:val="Un-numberedsubheading"/>
        <w:spacing w:after="0"/>
      </w:pPr>
      <w:r w:rsidRPr="0077606A">
        <w:t xml:space="preserve">Alternative </w:t>
      </w:r>
      <w:r w:rsidR="00CC6322" w:rsidRPr="0077606A">
        <w:t xml:space="preserve">data on disability and </w:t>
      </w:r>
      <w:r w:rsidR="009E4D16" w:rsidRPr="0077606A">
        <w:t xml:space="preserve">tertiary education </w:t>
      </w:r>
      <w:r w:rsidR="00803568" w:rsidRPr="0077606A">
        <w:t>provided by the national expert</w:t>
      </w:r>
      <w:r w:rsidRPr="0077606A">
        <w:t>:</w:t>
      </w:r>
    </w:p>
    <w:p w14:paraId="0EC7F78E" w14:textId="77777777" w:rsidR="004F5C94" w:rsidRPr="0077606A" w:rsidRDefault="004F5C94" w:rsidP="0016304F">
      <w:pPr>
        <w:pStyle w:val="Un-numberedsubheading"/>
        <w:spacing w:after="0"/>
      </w:pPr>
    </w:p>
    <w:p w14:paraId="2870B83D" w14:textId="08A92E1F" w:rsidR="003D757A" w:rsidRDefault="003D757A" w:rsidP="0016304F">
      <w:pPr>
        <w:spacing w:after="0"/>
        <w:rPr>
          <w:bCs/>
        </w:rPr>
      </w:pPr>
      <w:r w:rsidRPr="0077606A">
        <w:rPr>
          <w:bCs/>
        </w:rPr>
        <w:t xml:space="preserve">There </w:t>
      </w:r>
      <w:r w:rsidR="00932AC8">
        <w:rPr>
          <w:bCs/>
        </w:rPr>
        <w:t>was</w:t>
      </w:r>
      <w:r w:rsidR="00932AC8" w:rsidRPr="0077606A">
        <w:rPr>
          <w:bCs/>
        </w:rPr>
        <w:t xml:space="preserve"> </w:t>
      </w:r>
      <w:r w:rsidRPr="0077606A">
        <w:rPr>
          <w:bCs/>
        </w:rPr>
        <w:t xml:space="preserve">no directly equivalent indicator in the </w:t>
      </w:r>
      <w:r w:rsidR="004C7992" w:rsidRPr="0077606A">
        <w:rPr>
          <w:bCs/>
        </w:rPr>
        <w:t xml:space="preserve">UK </w:t>
      </w:r>
      <w:r w:rsidRPr="0077606A">
        <w:rPr>
          <w:bCs/>
        </w:rPr>
        <w:t>national disability strategy</w:t>
      </w:r>
      <w:r w:rsidR="00162ECF" w:rsidRPr="0077606A">
        <w:rPr>
          <w:bCs/>
        </w:rPr>
        <w:t xml:space="preserve"> indicator framework</w:t>
      </w:r>
      <w:r w:rsidR="00B77F7D">
        <w:rPr>
          <w:bCs/>
        </w:rPr>
        <w:t>,</w:t>
      </w:r>
      <w:r w:rsidR="00162ECF" w:rsidRPr="0077606A">
        <w:rPr>
          <w:bCs/>
        </w:rPr>
        <w:t xml:space="preserve"> but relevant supporting indicators </w:t>
      </w:r>
      <w:r w:rsidR="00E9245F">
        <w:rPr>
          <w:bCs/>
        </w:rPr>
        <w:t>were included in</w:t>
      </w:r>
      <w:r w:rsidR="00E9245F" w:rsidRPr="0077606A">
        <w:rPr>
          <w:bCs/>
        </w:rPr>
        <w:t xml:space="preserve"> </w:t>
      </w:r>
      <w:r w:rsidR="00162ECF" w:rsidRPr="0077606A">
        <w:rPr>
          <w:bCs/>
        </w:rPr>
        <w:t>the 2014 progress report, including: Satisfaction levels with higher education course, Students who do not continue in higher education after their first year, number of first degree graduates.</w:t>
      </w:r>
      <w:r w:rsidR="00162ECF" w:rsidRPr="0077606A">
        <w:rPr>
          <w:rStyle w:val="FootnoteReference"/>
          <w:bCs/>
        </w:rPr>
        <w:footnoteReference w:id="29"/>
      </w:r>
      <w:r w:rsidR="00162ECF" w:rsidRPr="0077606A">
        <w:rPr>
          <w:bCs/>
        </w:rPr>
        <w:t xml:space="preserve"> Most data </w:t>
      </w:r>
      <w:r w:rsidR="00932AC8">
        <w:rPr>
          <w:bCs/>
        </w:rPr>
        <w:t>was</w:t>
      </w:r>
      <w:r w:rsidR="00932AC8" w:rsidRPr="0077606A">
        <w:rPr>
          <w:bCs/>
        </w:rPr>
        <w:t xml:space="preserve"> </w:t>
      </w:r>
      <w:r w:rsidR="00162ECF" w:rsidRPr="0077606A">
        <w:rPr>
          <w:bCs/>
        </w:rPr>
        <w:t xml:space="preserve">based on </w:t>
      </w:r>
      <w:r w:rsidRPr="0077606A">
        <w:rPr>
          <w:bCs/>
        </w:rPr>
        <w:t>students’ self-identif</w:t>
      </w:r>
      <w:r w:rsidR="00162ECF" w:rsidRPr="0077606A">
        <w:rPr>
          <w:bCs/>
        </w:rPr>
        <w:t>ication of</w:t>
      </w:r>
      <w:r w:rsidRPr="0077606A">
        <w:rPr>
          <w:bCs/>
        </w:rPr>
        <w:t xml:space="preserve"> disability status, but there is </w:t>
      </w:r>
      <w:r w:rsidR="00162ECF" w:rsidRPr="0077606A">
        <w:rPr>
          <w:bCs/>
        </w:rPr>
        <w:t>missing data.</w:t>
      </w:r>
      <w:r w:rsidR="00932AC8">
        <w:rPr>
          <w:bCs/>
        </w:rPr>
        <w:t xml:space="preserve"> This has not been updated since 2014.</w:t>
      </w:r>
    </w:p>
    <w:p w14:paraId="0758B1BD" w14:textId="77777777" w:rsidR="004F5C94" w:rsidRPr="0077606A" w:rsidRDefault="004F5C94" w:rsidP="0016304F">
      <w:pPr>
        <w:spacing w:after="0"/>
        <w:rPr>
          <w:bCs/>
        </w:rPr>
      </w:pPr>
    </w:p>
    <w:p w14:paraId="3F295757" w14:textId="0BF50788" w:rsidR="0016304F" w:rsidRDefault="003D757A" w:rsidP="0016304F">
      <w:pPr>
        <w:spacing w:after="0"/>
        <w:rPr>
          <w:bCs/>
        </w:rPr>
      </w:pPr>
      <w:r w:rsidRPr="0077606A">
        <w:rPr>
          <w:bCs/>
        </w:rPr>
        <w:t xml:space="preserve">The Eurostat definition of tertiary education refers to educational programmes at ISCED level 5 or 6, which equate with the UK’s National Qualifications Framework </w:t>
      </w:r>
      <w:r w:rsidRPr="0077606A">
        <w:rPr>
          <w:bCs/>
        </w:rPr>
        <w:lastRenderedPageBreak/>
        <w:t>(NQF) Level 4.</w:t>
      </w:r>
      <w:r w:rsidRPr="0077606A">
        <w:rPr>
          <w:rStyle w:val="FootnoteReference"/>
          <w:bCs/>
        </w:rPr>
        <w:footnoteReference w:id="30"/>
      </w:r>
      <w:r w:rsidRPr="0077606A">
        <w:rPr>
          <w:bCs/>
        </w:rPr>
        <w:t xml:space="preserve"> This includes some shorter professional and technical programmes equivalent to a Certificate of Higher Education, as well as degree level study.</w:t>
      </w:r>
    </w:p>
    <w:p w14:paraId="522EB490" w14:textId="77777777" w:rsidR="0016304F" w:rsidRDefault="0016304F" w:rsidP="0016304F">
      <w:pPr>
        <w:spacing w:after="0"/>
        <w:rPr>
          <w:bCs/>
        </w:rPr>
      </w:pPr>
    </w:p>
    <w:p w14:paraId="07D1C78A" w14:textId="278BF456" w:rsidR="003D757A" w:rsidRDefault="003D757A" w:rsidP="0016304F">
      <w:pPr>
        <w:spacing w:after="0"/>
      </w:pPr>
      <w:r w:rsidRPr="00404D1C">
        <w:t>The second quarter LFS for 201</w:t>
      </w:r>
      <w:r w:rsidR="00932AC8" w:rsidRPr="00404D1C">
        <w:t>7</w:t>
      </w:r>
      <w:r w:rsidRPr="00404D1C">
        <w:t xml:space="preserve"> includes valid data for </w:t>
      </w:r>
      <w:r w:rsidR="00F87F24" w:rsidRPr="00404D1C">
        <w:t xml:space="preserve">688 </w:t>
      </w:r>
      <w:r w:rsidRPr="00404D1C">
        <w:t xml:space="preserve">disabled people aged 30-34 (compared to </w:t>
      </w:r>
      <w:r w:rsidR="00404D1C" w:rsidRPr="00404D1C">
        <w:t>1</w:t>
      </w:r>
      <w:r w:rsidR="00404D1C" w:rsidRPr="009718E4">
        <w:t>68</w:t>
      </w:r>
      <w:r w:rsidR="00404D1C" w:rsidRPr="00404D1C">
        <w:t xml:space="preserve"> </w:t>
      </w:r>
      <w:r w:rsidRPr="00404D1C">
        <w:t>in the EU-SILC 201</w:t>
      </w:r>
      <w:r w:rsidR="00404D1C" w:rsidRPr="009718E4">
        <w:t>5</w:t>
      </w:r>
      <w:r w:rsidRPr="00404D1C">
        <w:t xml:space="preserve"> micro data sample). The following weighted cross tabulation was derived from the UK Data Service for the purpose of this ANED report and is not an official statistic. It </w:t>
      </w:r>
      <w:r w:rsidR="00A37A4E" w:rsidRPr="00404D1C">
        <w:t>indicates</w:t>
      </w:r>
      <w:r w:rsidRPr="00404D1C">
        <w:t xml:space="preserve"> that </w:t>
      </w:r>
      <w:r w:rsidR="00F87F24" w:rsidRPr="00404D1C">
        <w:t>3</w:t>
      </w:r>
      <w:r w:rsidR="00356356" w:rsidRPr="00404D1C">
        <w:t>1</w:t>
      </w:r>
      <w:r w:rsidR="00F87F24" w:rsidRPr="00404D1C">
        <w:t>.5</w:t>
      </w:r>
      <w:r w:rsidRPr="00404D1C">
        <w:t xml:space="preserve">% of disabled people in the target age group </w:t>
      </w:r>
      <w:r w:rsidR="00A37A4E" w:rsidRPr="00404D1C">
        <w:t>had</w:t>
      </w:r>
      <w:r w:rsidRPr="00404D1C">
        <w:t xml:space="preserve"> achieved the relevant qualification level, compared to </w:t>
      </w:r>
      <w:r w:rsidR="00F87F24" w:rsidRPr="00404D1C">
        <w:t>50.</w:t>
      </w:r>
      <w:r w:rsidR="00356356" w:rsidRPr="00404D1C">
        <w:t>8</w:t>
      </w:r>
      <w:r w:rsidRPr="00404D1C">
        <w:t>% of non-disabled people (</w:t>
      </w:r>
      <w:r w:rsidR="00F87F24" w:rsidRPr="00404D1C">
        <w:t>48</w:t>
      </w:r>
      <w:r w:rsidR="00356356" w:rsidRPr="00404D1C">
        <w:t>.5</w:t>
      </w:r>
      <w:r w:rsidRPr="00404D1C">
        <w:t xml:space="preserve">% for the total age group) – </w:t>
      </w:r>
      <w:r w:rsidR="004C7992" w:rsidRPr="00404D1C">
        <w:t xml:space="preserve">a </w:t>
      </w:r>
      <w:r w:rsidRPr="00404D1C">
        <w:t xml:space="preserve">gap of </w:t>
      </w:r>
      <w:r w:rsidR="00356356" w:rsidRPr="00404D1C">
        <w:t>more than 19</w:t>
      </w:r>
      <w:r w:rsidRPr="00404D1C">
        <w:t xml:space="preserve"> percentage points.</w:t>
      </w:r>
      <w:r w:rsidR="004C7992" w:rsidRPr="00404D1C">
        <w:t xml:space="preserve"> This </w:t>
      </w:r>
      <w:r w:rsidR="00356356" w:rsidRPr="00404D1C">
        <w:t xml:space="preserve">data </w:t>
      </w:r>
      <w:r w:rsidR="004C7992" w:rsidRPr="00404D1C">
        <w:t xml:space="preserve">is </w:t>
      </w:r>
      <w:r w:rsidR="00F87F24" w:rsidRPr="00404D1C">
        <w:t>comparable with last year’s data</w:t>
      </w:r>
      <w:r w:rsidR="004C7992" w:rsidRPr="00404D1C">
        <w:t>.</w:t>
      </w:r>
    </w:p>
    <w:p w14:paraId="15E0B5FA" w14:textId="77777777" w:rsidR="004F5C94" w:rsidRPr="0077606A" w:rsidRDefault="004F5C94" w:rsidP="0016304F">
      <w:pPr>
        <w:spacing w:after="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21"/>
        <w:gridCol w:w="1722"/>
        <w:gridCol w:w="1722"/>
      </w:tblGrid>
      <w:tr w:rsidR="003D757A" w:rsidRPr="0077606A" w14:paraId="0F70F3B2" w14:textId="77777777" w:rsidTr="00356356">
        <w:trPr>
          <w:trHeight w:val="255"/>
        </w:trPr>
        <w:tc>
          <w:tcPr>
            <w:tcW w:w="9242" w:type="dxa"/>
            <w:gridSpan w:val="4"/>
            <w:shd w:val="clear" w:color="auto" w:fill="auto"/>
            <w:noWrap/>
          </w:tcPr>
          <w:p w14:paraId="68B1FE2D" w14:textId="4C227E69" w:rsidR="003D757A" w:rsidRPr="0077606A" w:rsidRDefault="003D757A" w:rsidP="0016304F">
            <w:pPr>
              <w:spacing w:after="0"/>
              <w:rPr>
                <w:b/>
                <w:bCs/>
              </w:rPr>
            </w:pPr>
            <w:r w:rsidRPr="0077606A">
              <w:rPr>
                <w:b/>
                <w:bCs/>
              </w:rPr>
              <w:t>Highest qualifications of 30-34 year olds (weighted estimates), 201</w:t>
            </w:r>
            <w:r w:rsidR="00356356">
              <w:rPr>
                <w:b/>
                <w:bCs/>
              </w:rPr>
              <w:t>7</w:t>
            </w:r>
          </w:p>
        </w:tc>
      </w:tr>
      <w:tr w:rsidR="0077606A" w:rsidRPr="0077606A" w14:paraId="6B49E997" w14:textId="77777777" w:rsidTr="00356356">
        <w:trPr>
          <w:trHeight w:val="255"/>
        </w:trPr>
        <w:tc>
          <w:tcPr>
            <w:tcW w:w="4077" w:type="dxa"/>
            <w:tcBorders>
              <w:bottom w:val="single" w:sz="4" w:space="0" w:color="auto"/>
            </w:tcBorders>
            <w:shd w:val="clear" w:color="auto" w:fill="auto"/>
            <w:noWrap/>
          </w:tcPr>
          <w:p w14:paraId="7B41A3FD" w14:textId="77777777" w:rsidR="003D757A" w:rsidRPr="0077606A" w:rsidRDefault="003D757A" w:rsidP="0016304F">
            <w:pPr>
              <w:spacing w:after="0"/>
              <w:rPr>
                <w:b/>
                <w:bCs/>
              </w:rPr>
            </w:pPr>
            <w:r w:rsidRPr="0077606A">
              <w:rPr>
                <w:b/>
                <w:bCs/>
              </w:rPr>
              <w:t xml:space="preserve">Level of highest qualification held </w:t>
            </w:r>
          </w:p>
        </w:tc>
        <w:tc>
          <w:tcPr>
            <w:tcW w:w="1721" w:type="dxa"/>
            <w:tcBorders>
              <w:bottom w:val="single" w:sz="4" w:space="0" w:color="auto"/>
            </w:tcBorders>
            <w:shd w:val="clear" w:color="auto" w:fill="auto"/>
            <w:noWrap/>
            <w:hideMark/>
          </w:tcPr>
          <w:p w14:paraId="203D272F" w14:textId="77777777" w:rsidR="003D757A" w:rsidRPr="0077606A" w:rsidRDefault="003D757A" w:rsidP="0016304F">
            <w:pPr>
              <w:spacing w:after="0"/>
              <w:rPr>
                <w:b/>
                <w:bCs/>
              </w:rPr>
            </w:pPr>
            <w:r w:rsidRPr="0077606A">
              <w:rPr>
                <w:b/>
                <w:bCs/>
              </w:rPr>
              <w:t>Disabled</w:t>
            </w:r>
          </w:p>
        </w:tc>
        <w:tc>
          <w:tcPr>
            <w:tcW w:w="1722" w:type="dxa"/>
            <w:tcBorders>
              <w:bottom w:val="single" w:sz="4" w:space="0" w:color="auto"/>
            </w:tcBorders>
            <w:shd w:val="clear" w:color="auto" w:fill="auto"/>
            <w:noWrap/>
            <w:hideMark/>
          </w:tcPr>
          <w:p w14:paraId="6514FCBB" w14:textId="77777777" w:rsidR="003D757A" w:rsidRPr="0077606A" w:rsidRDefault="003D757A" w:rsidP="0016304F">
            <w:pPr>
              <w:spacing w:after="0"/>
              <w:rPr>
                <w:b/>
                <w:bCs/>
              </w:rPr>
            </w:pPr>
            <w:r w:rsidRPr="0077606A">
              <w:rPr>
                <w:b/>
                <w:bCs/>
              </w:rPr>
              <w:t>Not Disabled</w:t>
            </w:r>
          </w:p>
        </w:tc>
        <w:tc>
          <w:tcPr>
            <w:tcW w:w="1722" w:type="dxa"/>
            <w:tcBorders>
              <w:bottom w:val="single" w:sz="4" w:space="0" w:color="auto"/>
            </w:tcBorders>
            <w:shd w:val="clear" w:color="auto" w:fill="auto"/>
            <w:noWrap/>
            <w:hideMark/>
          </w:tcPr>
          <w:p w14:paraId="713076C9" w14:textId="77777777" w:rsidR="003D757A" w:rsidRPr="0077606A" w:rsidRDefault="003D757A" w:rsidP="0016304F">
            <w:pPr>
              <w:spacing w:after="0"/>
              <w:rPr>
                <w:b/>
                <w:bCs/>
              </w:rPr>
            </w:pPr>
            <w:r w:rsidRPr="0077606A">
              <w:rPr>
                <w:b/>
                <w:bCs/>
              </w:rPr>
              <w:t>Total</w:t>
            </w:r>
          </w:p>
        </w:tc>
      </w:tr>
      <w:tr w:rsidR="00356356" w:rsidRPr="0077606A" w14:paraId="0DD3ECDD" w14:textId="77777777" w:rsidTr="00356356">
        <w:trPr>
          <w:trHeight w:val="255"/>
        </w:trPr>
        <w:tc>
          <w:tcPr>
            <w:tcW w:w="4077" w:type="dxa"/>
            <w:shd w:val="clear" w:color="auto" w:fill="D9D9D9"/>
            <w:noWrap/>
          </w:tcPr>
          <w:p w14:paraId="0D932757" w14:textId="77777777" w:rsidR="00356356" w:rsidRPr="0077606A" w:rsidRDefault="00356356" w:rsidP="0016304F">
            <w:pPr>
              <w:spacing w:after="0"/>
              <w:rPr>
                <w:bCs/>
              </w:rPr>
            </w:pPr>
            <w:r w:rsidRPr="0077606A">
              <w:rPr>
                <w:bCs/>
              </w:rPr>
              <w:t xml:space="preserve">NQF Level 4 and above </w:t>
            </w:r>
            <w:r w:rsidRPr="0077606A">
              <w:rPr>
                <w:b/>
                <w:bCs/>
              </w:rPr>
              <w:t>(ISCED 5+)</w:t>
            </w:r>
          </w:p>
        </w:tc>
        <w:tc>
          <w:tcPr>
            <w:tcW w:w="1721" w:type="dxa"/>
            <w:shd w:val="clear" w:color="auto" w:fill="D9D9D9"/>
            <w:noWrap/>
            <w:hideMark/>
          </w:tcPr>
          <w:p w14:paraId="6158F438" w14:textId="625852B1" w:rsidR="00356356" w:rsidRPr="0077606A" w:rsidRDefault="00356356" w:rsidP="0016304F">
            <w:pPr>
              <w:spacing w:after="0"/>
              <w:jc w:val="right"/>
              <w:rPr>
                <w:bCs/>
              </w:rPr>
            </w:pPr>
            <w:r w:rsidRPr="006A721B">
              <w:t>31.5</w:t>
            </w:r>
          </w:p>
        </w:tc>
        <w:tc>
          <w:tcPr>
            <w:tcW w:w="1722" w:type="dxa"/>
            <w:shd w:val="clear" w:color="auto" w:fill="D9D9D9"/>
            <w:noWrap/>
            <w:hideMark/>
          </w:tcPr>
          <w:p w14:paraId="2C9DEA5A" w14:textId="71693441" w:rsidR="00356356" w:rsidRPr="0077606A" w:rsidRDefault="00356356" w:rsidP="0016304F">
            <w:pPr>
              <w:spacing w:after="0"/>
              <w:jc w:val="right"/>
              <w:rPr>
                <w:bCs/>
              </w:rPr>
            </w:pPr>
            <w:r w:rsidRPr="006A721B">
              <w:t>50.8</w:t>
            </w:r>
          </w:p>
        </w:tc>
        <w:tc>
          <w:tcPr>
            <w:tcW w:w="1722" w:type="dxa"/>
            <w:shd w:val="clear" w:color="auto" w:fill="D9D9D9"/>
            <w:noWrap/>
            <w:hideMark/>
          </w:tcPr>
          <w:p w14:paraId="413448A6" w14:textId="6C06874A" w:rsidR="00356356" w:rsidRPr="0077606A" w:rsidRDefault="00356356" w:rsidP="0016304F">
            <w:pPr>
              <w:spacing w:after="0"/>
              <w:jc w:val="right"/>
              <w:rPr>
                <w:bCs/>
              </w:rPr>
            </w:pPr>
            <w:r w:rsidRPr="006A721B">
              <w:t>48.5</w:t>
            </w:r>
          </w:p>
        </w:tc>
      </w:tr>
      <w:tr w:rsidR="00356356" w:rsidRPr="0077606A" w14:paraId="4FDCDCE1" w14:textId="77777777" w:rsidTr="00356356">
        <w:trPr>
          <w:trHeight w:val="255"/>
        </w:trPr>
        <w:tc>
          <w:tcPr>
            <w:tcW w:w="4077" w:type="dxa"/>
            <w:shd w:val="clear" w:color="auto" w:fill="auto"/>
            <w:noWrap/>
            <w:hideMark/>
          </w:tcPr>
          <w:p w14:paraId="1632849F" w14:textId="77777777" w:rsidR="00356356" w:rsidRPr="0077606A" w:rsidRDefault="00356356" w:rsidP="0016304F">
            <w:pPr>
              <w:spacing w:after="0"/>
              <w:rPr>
                <w:bCs/>
              </w:rPr>
            </w:pPr>
            <w:r w:rsidRPr="0077606A">
              <w:rPr>
                <w:bCs/>
              </w:rPr>
              <w:t>NQF Level 3</w:t>
            </w:r>
          </w:p>
        </w:tc>
        <w:tc>
          <w:tcPr>
            <w:tcW w:w="1721" w:type="dxa"/>
            <w:shd w:val="clear" w:color="auto" w:fill="auto"/>
            <w:noWrap/>
            <w:hideMark/>
          </w:tcPr>
          <w:p w14:paraId="2B16934B" w14:textId="51810E74" w:rsidR="00356356" w:rsidRPr="0077606A" w:rsidRDefault="00356356" w:rsidP="0016304F">
            <w:pPr>
              <w:spacing w:after="0"/>
              <w:jc w:val="right"/>
              <w:rPr>
                <w:bCs/>
              </w:rPr>
            </w:pPr>
            <w:r w:rsidRPr="006A721B">
              <w:t>14.3</w:t>
            </w:r>
          </w:p>
        </w:tc>
        <w:tc>
          <w:tcPr>
            <w:tcW w:w="1722" w:type="dxa"/>
            <w:shd w:val="clear" w:color="auto" w:fill="auto"/>
            <w:noWrap/>
            <w:hideMark/>
          </w:tcPr>
          <w:p w14:paraId="1C1D5B52" w14:textId="5F14599F" w:rsidR="00356356" w:rsidRPr="0077606A" w:rsidRDefault="00356356" w:rsidP="0016304F">
            <w:pPr>
              <w:spacing w:after="0"/>
              <w:jc w:val="right"/>
              <w:rPr>
                <w:bCs/>
              </w:rPr>
            </w:pPr>
            <w:r w:rsidRPr="006A721B">
              <w:t>16.6</w:t>
            </w:r>
          </w:p>
        </w:tc>
        <w:tc>
          <w:tcPr>
            <w:tcW w:w="1722" w:type="dxa"/>
            <w:shd w:val="clear" w:color="auto" w:fill="auto"/>
            <w:noWrap/>
            <w:hideMark/>
          </w:tcPr>
          <w:p w14:paraId="2D451FAC" w14:textId="2ABF0EAA" w:rsidR="00356356" w:rsidRPr="0077606A" w:rsidRDefault="00356356" w:rsidP="0016304F">
            <w:pPr>
              <w:spacing w:after="0"/>
              <w:jc w:val="right"/>
              <w:rPr>
                <w:bCs/>
              </w:rPr>
            </w:pPr>
            <w:r w:rsidRPr="006A721B">
              <w:t>16.3</w:t>
            </w:r>
          </w:p>
        </w:tc>
      </w:tr>
      <w:tr w:rsidR="00356356" w:rsidRPr="0077606A" w14:paraId="46DAE2E4" w14:textId="77777777" w:rsidTr="00356356">
        <w:trPr>
          <w:trHeight w:val="255"/>
        </w:trPr>
        <w:tc>
          <w:tcPr>
            <w:tcW w:w="4077" w:type="dxa"/>
            <w:shd w:val="clear" w:color="auto" w:fill="auto"/>
            <w:noWrap/>
            <w:hideMark/>
          </w:tcPr>
          <w:p w14:paraId="671283F2" w14:textId="77777777" w:rsidR="00356356" w:rsidRPr="0077606A" w:rsidRDefault="00356356" w:rsidP="0016304F">
            <w:pPr>
              <w:spacing w:after="0"/>
              <w:rPr>
                <w:bCs/>
              </w:rPr>
            </w:pPr>
            <w:r w:rsidRPr="0077606A">
              <w:rPr>
                <w:bCs/>
              </w:rPr>
              <w:t>Trade Apprenticeships</w:t>
            </w:r>
          </w:p>
        </w:tc>
        <w:tc>
          <w:tcPr>
            <w:tcW w:w="1721" w:type="dxa"/>
            <w:shd w:val="clear" w:color="auto" w:fill="auto"/>
            <w:noWrap/>
            <w:hideMark/>
          </w:tcPr>
          <w:p w14:paraId="4C5CBD72" w14:textId="7EA26ACB" w:rsidR="00356356" w:rsidRPr="0077606A" w:rsidRDefault="00356356" w:rsidP="0016304F">
            <w:pPr>
              <w:spacing w:after="0"/>
              <w:jc w:val="right"/>
              <w:rPr>
                <w:bCs/>
              </w:rPr>
            </w:pPr>
            <w:r w:rsidRPr="006A721B">
              <w:t>2</w:t>
            </w:r>
          </w:p>
        </w:tc>
        <w:tc>
          <w:tcPr>
            <w:tcW w:w="1722" w:type="dxa"/>
            <w:shd w:val="clear" w:color="auto" w:fill="auto"/>
            <w:noWrap/>
            <w:hideMark/>
          </w:tcPr>
          <w:p w14:paraId="1CDC92C9" w14:textId="37E7E22F" w:rsidR="00356356" w:rsidRPr="0077606A" w:rsidRDefault="00356356" w:rsidP="0016304F">
            <w:pPr>
              <w:spacing w:after="0"/>
              <w:jc w:val="right"/>
              <w:rPr>
                <w:bCs/>
              </w:rPr>
            </w:pPr>
            <w:r w:rsidRPr="006A721B">
              <w:t>1.7</w:t>
            </w:r>
          </w:p>
        </w:tc>
        <w:tc>
          <w:tcPr>
            <w:tcW w:w="1722" w:type="dxa"/>
            <w:shd w:val="clear" w:color="auto" w:fill="auto"/>
            <w:noWrap/>
            <w:hideMark/>
          </w:tcPr>
          <w:p w14:paraId="54F7F0BA" w14:textId="55DD0967" w:rsidR="00356356" w:rsidRPr="0077606A" w:rsidRDefault="00356356" w:rsidP="0016304F">
            <w:pPr>
              <w:spacing w:after="0"/>
              <w:jc w:val="right"/>
              <w:rPr>
                <w:bCs/>
              </w:rPr>
            </w:pPr>
            <w:r w:rsidRPr="006A721B">
              <w:t>1.7</w:t>
            </w:r>
          </w:p>
        </w:tc>
      </w:tr>
      <w:tr w:rsidR="00356356" w:rsidRPr="0077606A" w14:paraId="6D0C6A59" w14:textId="77777777" w:rsidTr="00356356">
        <w:trPr>
          <w:trHeight w:val="255"/>
        </w:trPr>
        <w:tc>
          <w:tcPr>
            <w:tcW w:w="4077" w:type="dxa"/>
            <w:shd w:val="clear" w:color="auto" w:fill="auto"/>
            <w:noWrap/>
            <w:hideMark/>
          </w:tcPr>
          <w:p w14:paraId="563F1E11" w14:textId="77777777" w:rsidR="00356356" w:rsidRPr="0077606A" w:rsidRDefault="00356356" w:rsidP="0016304F">
            <w:pPr>
              <w:spacing w:after="0"/>
              <w:rPr>
                <w:bCs/>
              </w:rPr>
            </w:pPr>
            <w:r w:rsidRPr="0077606A">
              <w:rPr>
                <w:bCs/>
              </w:rPr>
              <w:t>NQF Level 2</w:t>
            </w:r>
          </w:p>
        </w:tc>
        <w:tc>
          <w:tcPr>
            <w:tcW w:w="1721" w:type="dxa"/>
            <w:shd w:val="clear" w:color="auto" w:fill="auto"/>
            <w:noWrap/>
            <w:hideMark/>
          </w:tcPr>
          <w:p w14:paraId="4E7158D4" w14:textId="1BBE9694" w:rsidR="00356356" w:rsidRPr="0077606A" w:rsidRDefault="00356356" w:rsidP="0016304F">
            <w:pPr>
              <w:spacing w:after="0"/>
              <w:jc w:val="right"/>
              <w:rPr>
                <w:bCs/>
              </w:rPr>
            </w:pPr>
            <w:r w:rsidRPr="006A721B">
              <w:t>19.1</w:t>
            </w:r>
          </w:p>
        </w:tc>
        <w:tc>
          <w:tcPr>
            <w:tcW w:w="1722" w:type="dxa"/>
            <w:shd w:val="clear" w:color="auto" w:fill="auto"/>
            <w:noWrap/>
            <w:hideMark/>
          </w:tcPr>
          <w:p w14:paraId="6D699102" w14:textId="79A35D4A" w:rsidR="00356356" w:rsidRPr="0077606A" w:rsidRDefault="00356356" w:rsidP="0016304F">
            <w:pPr>
              <w:spacing w:after="0"/>
              <w:jc w:val="right"/>
              <w:rPr>
                <w:bCs/>
              </w:rPr>
            </w:pPr>
            <w:r w:rsidRPr="006A721B">
              <w:t>11.6</w:t>
            </w:r>
          </w:p>
        </w:tc>
        <w:tc>
          <w:tcPr>
            <w:tcW w:w="1722" w:type="dxa"/>
            <w:shd w:val="clear" w:color="auto" w:fill="auto"/>
            <w:noWrap/>
            <w:hideMark/>
          </w:tcPr>
          <w:p w14:paraId="05ECEB52" w14:textId="0B3EE290" w:rsidR="00356356" w:rsidRPr="0077606A" w:rsidRDefault="00356356" w:rsidP="0016304F">
            <w:pPr>
              <w:spacing w:after="0"/>
              <w:jc w:val="right"/>
              <w:rPr>
                <w:bCs/>
              </w:rPr>
            </w:pPr>
            <w:r w:rsidRPr="006A721B">
              <w:t>12.5</w:t>
            </w:r>
          </w:p>
        </w:tc>
      </w:tr>
      <w:tr w:rsidR="00356356" w:rsidRPr="0077606A" w14:paraId="117912C7" w14:textId="77777777" w:rsidTr="00356356">
        <w:trPr>
          <w:trHeight w:val="255"/>
        </w:trPr>
        <w:tc>
          <w:tcPr>
            <w:tcW w:w="4077" w:type="dxa"/>
            <w:shd w:val="clear" w:color="auto" w:fill="auto"/>
            <w:noWrap/>
            <w:hideMark/>
          </w:tcPr>
          <w:p w14:paraId="1058D611" w14:textId="77777777" w:rsidR="00356356" w:rsidRPr="0077606A" w:rsidRDefault="00356356" w:rsidP="0016304F">
            <w:pPr>
              <w:spacing w:after="0"/>
              <w:rPr>
                <w:bCs/>
              </w:rPr>
            </w:pPr>
            <w:r w:rsidRPr="0077606A">
              <w:rPr>
                <w:bCs/>
              </w:rPr>
              <w:t>Below NQF Level 2</w:t>
            </w:r>
          </w:p>
        </w:tc>
        <w:tc>
          <w:tcPr>
            <w:tcW w:w="1721" w:type="dxa"/>
            <w:shd w:val="clear" w:color="auto" w:fill="auto"/>
            <w:noWrap/>
            <w:hideMark/>
          </w:tcPr>
          <w:p w14:paraId="3B18F5DC" w14:textId="06865966" w:rsidR="00356356" w:rsidRPr="0077606A" w:rsidRDefault="00356356" w:rsidP="0016304F">
            <w:pPr>
              <w:spacing w:after="0"/>
              <w:jc w:val="right"/>
              <w:rPr>
                <w:bCs/>
              </w:rPr>
            </w:pPr>
            <w:r w:rsidRPr="006A721B">
              <w:t>13.3</w:t>
            </w:r>
          </w:p>
        </w:tc>
        <w:tc>
          <w:tcPr>
            <w:tcW w:w="1722" w:type="dxa"/>
            <w:shd w:val="clear" w:color="auto" w:fill="auto"/>
            <w:noWrap/>
            <w:hideMark/>
          </w:tcPr>
          <w:p w14:paraId="479CCECA" w14:textId="6B206289" w:rsidR="00356356" w:rsidRPr="0077606A" w:rsidRDefault="00356356" w:rsidP="0016304F">
            <w:pPr>
              <w:spacing w:after="0"/>
              <w:jc w:val="right"/>
              <w:rPr>
                <w:bCs/>
              </w:rPr>
            </w:pPr>
            <w:r w:rsidRPr="006A721B">
              <w:t>7.1</w:t>
            </w:r>
          </w:p>
        </w:tc>
        <w:tc>
          <w:tcPr>
            <w:tcW w:w="1722" w:type="dxa"/>
            <w:shd w:val="clear" w:color="auto" w:fill="auto"/>
            <w:noWrap/>
            <w:hideMark/>
          </w:tcPr>
          <w:p w14:paraId="65B5FB5D" w14:textId="547122B8" w:rsidR="00356356" w:rsidRPr="0077606A" w:rsidRDefault="00356356" w:rsidP="0016304F">
            <w:pPr>
              <w:spacing w:after="0"/>
              <w:jc w:val="right"/>
              <w:rPr>
                <w:bCs/>
              </w:rPr>
            </w:pPr>
            <w:r w:rsidRPr="006A721B">
              <w:t>7.8</w:t>
            </w:r>
          </w:p>
        </w:tc>
      </w:tr>
      <w:tr w:rsidR="00356356" w:rsidRPr="0077606A" w14:paraId="0DA5AB43" w14:textId="77777777" w:rsidTr="00356356">
        <w:trPr>
          <w:trHeight w:val="255"/>
        </w:trPr>
        <w:tc>
          <w:tcPr>
            <w:tcW w:w="4077" w:type="dxa"/>
            <w:shd w:val="clear" w:color="auto" w:fill="auto"/>
            <w:noWrap/>
            <w:hideMark/>
          </w:tcPr>
          <w:p w14:paraId="6CD216A9" w14:textId="77777777" w:rsidR="00356356" w:rsidRPr="0077606A" w:rsidRDefault="00356356" w:rsidP="0016304F">
            <w:pPr>
              <w:spacing w:after="0"/>
              <w:rPr>
                <w:bCs/>
              </w:rPr>
            </w:pPr>
            <w:r w:rsidRPr="0077606A">
              <w:rPr>
                <w:bCs/>
              </w:rPr>
              <w:t>Other Qualifications</w:t>
            </w:r>
          </w:p>
        </w:tc>
        <w:tc>
          <w:tcPr>
            <w:tcW w:w="1721" w:type="dxa"/>
            <w:shd w:val="clear" w:color="auto" w:fill="auto"/>
            <w:noWrap/>
            <w:hideMark/>
          </w:tcPr>
          <w:p w14:paraId="52BC3E57" w14:textId="134DDDEA" w:rsidR="00356356" w:rsidRPr="0077606A" w:rsidRDefault="00356356" w:rsidP="0016304F">
            <w:pPr>
              <w:spacing w:after="0"/>
              <w:jc w:val="right"/>
              <w:rPr>
                <w:bCs/>
              </w:rPr>
            </w:pPr>
            <w:r w:rsidRPr="006A721B">
              <w:t>7.9</w:t>
            </w:r>
          </w:p>
        </w:tc>
        <w:tc>
          <w:tcPr>
            <w:tcW w:w="1722" w:type="dxa"/>
            <w:shd w:val="clear" w:color="auto" w:fill="auto"/>
            <w:noWrap/>
            <w:hideMark/>
          </w:tcPr>
          <w:p w14:paraId="1AB06DA5" w14:textId="2D471128" w:rsidR="00356356" w:rsidRPr="0077606A" w:rsidRDefault="00356356" w:rsidP="0016304F">
            <w:pPr>
              <w:spacing w:after="0"/>
              <w:jc w:val="right"/>
              <w:rPr>
                <w:bCs/>
              </w:rPr>
            </w:pPr>
            <w:r w:rsidRPr="006A721B">
              <w:t>7.6</w:t>
            </w:r>
          </w:p>
        </w:tc>
        <w:tc>
          <w:tcPr>
            <w:tcW w:w="1722" w:type="dxa"/>
            <w:shd w:val="clear" w:color="auto" w:fill="auto"/>
            <w:noWrap/>
            <w:hideMark/>
          </w:tcPr>
          <w:p w14:paraId="7D6B04D7" w14:textId="1A69F962" w:rsidR="00356356" w:rsidRPr="0077606A" w:rsidRDefault="00356356" w:rsidP="0016304F">
            <w:pPr>
              <w:spacing w:after="0"/>
              <w:jc w:val="right"/>
              <w:rPr>
                <w:bCs/>
              </w:rPr>
            </w:pPr>
            <w:r w:rsidRPr="006A721B">
              <w:t>7.6</w:t>
            </w:r>
          </w:p>
        </w:tc>
      </w:tr>
      <w:tr w:rsidR="00356356" w:rsidRPr="0077606A" w14:paraId="68048CB1" w14:textId="77777777" w:rsidTr="00356356">
        <w:trPr>
          <w:trHeight w:val="255"/>
        </w:trPr>
        <w:tc>
          <w:tcPr>
            <w:tcW w:w="4077" w:type="dxa"/>
            <w:shd w:val="clear" w:color="auto" w:fill="auto"/>
            <w:noWrap/>
            <w:hideMark/>
          </w:tcPr>
          <w:p w14:paraId="27A7E642" w14:textId="77777777" w:rsidR="00356356" w:rsidRPr="0077606A" w:rsidRDefault="00356356" w:rsidP="0016304F">
            <w:pPr>
              <w:spacing w:after="0"/>
              <w:rPr>
                <w:bCs/>
              </w:rPr>
            </w:pPr>
            <w:r w:rsidRPr="0077606A">
              <w:rPr>
                <w:bCs/>
              </w:rPr>
              <w:t>No Qualifications</w:t>
            </w:r>
          </w:p>
        </w:tc>
        <w:tc>
          <w:tcPr>
            <w:tcW w:w="1721" w:type="dxa"/>
            <w:shd w:val="clear" w:color="auto" w:fill="auto"/>
            <w:noWrap/>
            <w:hideMark/>
          </w:tcPr>
          <w:p w14:paraId="6F393F4D" w14:textId="6E90F3E0" w:rsidR="00356356" w:rsidRPr="0077606A" w:rsidRDefault="00356356" w:rsidP="0016304F">
            <w:pPr>
              <w:spacing w:after="0"/>
              <w:jc w:val="right"/>
              <w:rPr>
                <w:bCs/>
              </w:rPr>
            </w:pPr>
            <w:r w:rsidRPr="006A721B">
              <w:t>11.8</w:t>
            </w:r>
          </w:p>
        </w:tc>
        <w:tc>
          <w:tcPr>
            <w:tcW w:w="1722" w:type="dxa"/>
            <w:shd w:val="clear" w:color="auto" w:fill="auto"/>
            <w:noWrap/>
            <w:hideMark/>
          </w:tcPr>
          <w:p w14:paraId="023E5833" w14:textId="49E8B8F5" w:rsidR="00356356" w:rsidRPr="0077606A" w:rsidRDefault="00356356" w:rsidP="0016304F">
            <w:pPr>
              <w:spacing w:after="0"/>
              <w:jc w:val="right"/>
              <w:rPr>
                <w:bCs/>
              </w:rPr>
            </w:pPr>
            <w:r w:rsidRPr="006A721B">
              <w:t>4.6</w:t>
            </w:r>
          </w:p>
        </w:tc>
        <w:tc>
          <w:tcPr>
            <w:tcW w:w="1722" w:type="dxa"/>
            <w:shd w:val="clear" w:color="auto" w:fill="auto"/>
            <w:noWrap/>
            <w:hideMark/>
          </w:tcPr>
          <w:p w14:paraId="2CCA4D4F" w14:textId="000C6E18" w:rsidR="00356356" w:rsidRPr="0077606A" w:rsidRDefault="00356356" w:rsidP="0016304F">
            <w:pPr>
              <w:spacing w:after="0"/>
              <w:jc w:val="right"/>
              <w:rPr>
                <w:bCs/>
              </w:rPr>
            </w:pPr>
            <w:r w:rsidRPr="006A721B">
              <w:t>5.5</w:t>
            </w:r>
          </w:p>
        </w:tc>
      </w:tr>
      <w:tr w:rsidR="00356356" w:rsidRPr="0077606A" w14:paraId="6D11E910" w14:textId="77777777" w:rsidTr="00356356">
        <w:trPr>
          <w:trHeight w:val="255"/>
        </w:trPr>
        <w:tc>
          <w:tcPr>
            <w:tcW w:w="4077" w:type="dxa"/>
            <w:shd w:val="clear" w:color="auto" w:fill="auto"/>
            <w:noWrap/>
          </w:tcPr>
          <w:p w14:paraId="11964D9A" w14:textId="77777777" w:rsidR="00356356" w:rsidRPr="0077606A" w:rsidRDefault="00356356" w:rsidP="0016304F">
            <w:pPr>
              <w:spacing w:after="0"/>
              <w:rPr>
                <w:bCs/>
              </w:rPr>
            </w:pPr>
            <w:r w:rsidRPr="0077606A">
              <w:rPr>
                <w:bCs/>
              </w:rPr>
              <w:t>Total</w:t>
            </w:r>
          </w:p>
        </w:tc>
        <w:tc>
          <w:tcPr>
            <w:tcW w:w="1721" w:type="dxa"/>
            <w:shd w:val="clear" w:color="auto" w:fill="auto"/>
            <w:noWrap/>
            <w:hideMark/>
          </w:tcPr>
          <w:p w14:paraId="4E2BC49E" w14:textId="77E82F16" w:rsidR="00356356" w:rsidRPr="0077606A" w:rsidRDefault="00356356" w:rsidP="0016304F">
            <w:pPr>
              <w:spacing w:after="0"/>
              <w:jc w:val="right"/>
              <w:rPr>
                <w:bCs/>
              </w:rPr>
            </w:pPr>
            <w:r w:rsidRPr="006A721B">
              <w:t>100</w:t>
            </w:r>
          </w:p>
        </w:tc>
        <w:tc>
          <w:tcPr>
            <w:tcW w:w="1722" w:type="dxa"/>
            <w:shd w:val="clear" w:color="auto" w:fill="auto"/>
            <w:noWrap/>
            <w:hideMark/>
          </w:tcPr>
          <w:p w14:paraId="0022B9AB" w14:textId="21634AD1" w:rsidR="00356356" w:rsidRPr="0077606A" w:rsidRDefault="00356356" w:rsidP="0016304F">
            <w:pPr>
              <w:spacing w:after="0"/>
              <w:jc w:val="right"/>
              <w:rPr>
                <w:bCs/>
              </w:rPr>
            </w:pPr>
            <w:r w:rsidRPr="006A721B">
              <w:t>100</w:t>
            </w:r>
          </w:p>
        </w:tc>
        <w:tc>
          <w:tcPr>
            <w:tcW w:w="1722" w:type="dxa"/>
            <w:shd w:val="clear" w:color="auto" w:fill="auto"/>
            <w:noWrap/>
            <w:hideMark/>
          </w:tcPr>
          <w:p w14:paraId="4F39878C" w14:textId="793A03B9" w:rsidR="00356356" w:rsidRPr="0077606A" w:rsidRDefault="00356356" w:rsidP="0016304F">
            <w:pPr>
              <w:spacing w:after="0"/>
              <w:jc w:val="right"/>
              <w:rPr>
                <w:bCs/>
              </w:rPr>
            </w:pPr>
            <w:r w:rsidRPr="006A721B">
              <w:t>100</w:t>
            </w:r>
          </w:p>
        </w:tc>
      </w:tr>
      <w:tr w:rsidR="00356356" w:rsidRPr="0077606A" w14:paraId="4BBBC3D1" w14:textId="77777777" w:rsidTr="00356356">
        <w:trPr>
          <w:trHeight w:val="255"/>
        </w:trPr>
        <w:tc>
          <w:tcPr>
            <w:tcW w:w="4077" w:type="dxa"/>
            <w:shd w:val="clear" w:color="auto" w:fill="auto"/>
            <w:noWrap/>
          </w:tcPr>
          <w:p w14:paraId="632705EB" w14:textId="77777777" w:rsidR="00356356" w:rsidRPr="0077606A" w:rsidRDefault="00356356" w:rsidP="0016304F">
            <w:pPr>
              <w:spacing w:after="0"/>
              <w:rPr>
                <w:bCs/>
              </w:rPr>
            </w:pPr>
            <w:r w:rsidRPr="0077606A">
              <w:rPr>
                <w:bCs/>
              </w:rPr>
              <w:t>N=</w:t>
            </w:r>
          </w:p>
        </w:tc>
        <w:tc>
          <w:tcPr>
            <w:tcW w:w="1721" w:type="dxa"/>
            <w:shd w:val="clear" w:color="auto" w:fill="auto"/>
            <w:noWrap/>
            <w:hideMark/>
          </w:tcPr>
          <w:p w14:paraId="6B1AF2FE" w14:textId="5DAAA542" w:rsidR="00356356" w:rsidRPr="0077606A" w:rsidRDefault="00356356" w:rsidP="0016304F">
            <w:pPr>
              <w:spacing w:after="0"/>
              <w:jc w:val="right"/>
              <w:rPr>
                <w:bCs/>
              </w:rPr>
            </w:pPr>
            <w:r w:rsidRPr="006A721B">
              <w:t>521</w:t>
            </w:r>
            <w:r>
              <w:t>,</w:t>
            </w:r>
            <w:r w:rsidRPr="006A721B">
              <w:t>790</w:t>
            </w:r>
          </w:p>
        </w:tc>
        <w:tc>
          <w:tcPr>
            <w:tcW w:w="1722" w:type="dxa"/>
            <w:shd w:val="clear" w:color="auto" w:fill="auto"/>
            <w:noWrap/>
            <w:hideMark/>
          </w:tcPr>
          <w:p w14:paraId="03E8E653" w14:textId="6BB163A6" w:rsidR="00356356" w:rsidRPr="0077606A" w:rsidRDefault="00356356" w:rsidP="0016304F">
            <w:pPr>
              <w:spacing w:after="0"/>
              <w:jc w:val="right"/>
              <w:rPr>
                <w:bCs/>
              </w:rPr>
            </w:pPr>
            <w:r w:rsidRPr="006A721B">
              <w:t>3</w:t>
            </w:r>
            <w:r>
              <w:t>,</w:t>
            </w:r>
            <w:r w:rsidRPr="006A721B">
              <w:t>842</w:t>
            </w:r>
            <w:r>
              <w:t>,</w:t>
            </w:r>
            <w:r w:rsidRPr="006A721B">
              <w:t>070</w:t>
            </w:r>
          </w:p>
        </w:tc>
        <w:tc>
          <w:tcPr>
            <w:tcW w:w="1722" w:type="dxa"/>
            <w:shd w:val="clear" w:color="auto" w:fill="auto"/>
            <w:noWrap/>
            <w:hideMark/>
          </w:tcPr>
          <w:p w14:paraId="18D8AEEF" w14:textId="0F74B0EC" w:rsidR="00356356" w:rsidRPr="0077606A" w:rsidRDefault="00356356" w:rsidP="0016304F">
            <w:pPr>
              <w:spacing w:after="0"/>
              <w:jc w:val="right"/>
              <w:rPr>
                <w:bCs/>
              </w:rPr>
            </w:pPr>
            <w:r w:rsidRPr="006A721B">
              <w:t>4</w:t>
            </w:r>
            <w:r>
              <w:t>,</w:t>
            </w:r>
            <w:r w:rsidRPr="006A721B">
              <w:t>363</w:t>
            </w:r>
            <w:r>
              <w:t>,</w:t>
            </w:r>
            <w:r w:rsidRPr="006A721B">
              <w:t>860</w:t>
            </w:r>
          </w:p>
        </w:tc>
      </w:tr>
      <w:tr w:rsidR="003D757A" w:rsidRPr="0077606A" w14:paraId="1A263473" w14:textId="77777777" w:rsidTr="00356356">
        <w:trPr>
          <w:trHeight w:val="255"/>
        </w:trPr>
        <w:tc>
          <w:tcPr>
            <w:tcW w:w="9242" w:type="dxa"/>
            <w:gridSpan w:val="4"/>
            <w:shd w:val="clear" w:color="auto" w:fill="auto"/>
            <w:noWrap/>
            <w:hideMark/>
          </w:tcPr>
          <w:p w14:paraId="7D53FD37" w14:textId="77777777" w:rsidR="003D757A" w:rsidRPr="0077606A" w:rsidRDefault="003D757A" w:rsidP="0016304F">
            <w:pPr>
              <w:spacing w:after="0"/>
              <w:rPr>
                <w:bCs/>
              </w:rPr>
            </w:pPr>
            <w:r w:rsidRPr="0077606A">
              <w:rPr>
                <w:bCs/>
              </w:rPr>
              <w:t>Crown copyright material is reproduced with the permission of the Controller of HMSO and the Queen's Printer for Scotland</w:t>
            </w:r>
          </w:p>
        </w:tc>
      </w:tr>
    </w:tbl>
    <w:p w14:paraId="6E773A6C" w14:textId="0AB413A5" w:rsidR="00512FB4" w:rsidRPr="00B72FE2" w:rsidRDefault="004C7992" w:rsidP="0016304F">
      <w:pPr>
        <w:pStyle w:val="Sourcereference"/>
        <w:rPr>
          <w:rFonts w:eastAsia="SimSun"/>
          <w:bCs/>
        </w:rPr>
      </w:pPr>
      <w:r w:rsidRPr="00B72FE2">
        <w:t>Source: Quarterly Labour Force Survey, April-June, 201</w:t>
      </w:r>
      <w:r w:rsidR="00356356">
        <w:t>7</w:t>
      </w:r>
      <w:r w:rsidRPr="00B72FE2">
        <w:t xml:space="preserve"> (using </w:t>
      </w:r>
      <w:r w:rsidR="00F87F24" w:rsidRPr="00B72FE2">
        <w:t>GSS Harmonised disability</w:t>
      </w:r>
      <w:r w:rsidR="004F5C94" w:rsidRPr="00B72FE2">
        <w:t xml:space="preserve"> </w:t>
      </w:r>
      <w:r w:rsidRPr="00B72FE2">
        <w:t>definition)</w:t>
      </w:r>
      <w:r w:rsidR="00B8756F" w:rsidRPr="00B72FE2">
        <w:rPr>
          <w:rStyle w:val="FootnoteReference"/>
          <w:iCs/>
          <w:sz w:val="20"/>
        </w:rPr>
        <w:footnoteReference w:id="31"/>
      </w:r>
    </w:p>
    <w:p w14:paraId="6F092B68" w14:textId="77777777" w:rsidR="00EE6146" w:rsidRPr="0077606A" w:rsidRDefault="00EE6146" w:rsidP="0016304F">
      <w:pPr>
        <w:spacing w:after="0"/>
        <w:rPr>
          <w:rFonts w:eastAsia="SimSun"/>
          <w:bCs/>
        </w:rPr>
      </w:pPr>
    </w:p>
    <w:p w14:paraId="4DD31D75" w14:textId="77777777" w:rsidR="00EB54C7" w:rsidRDefault="005C65DC" w:rsidP="0016304F">
      <w:pPr>
        <w:pStyle w:val="Heading2"/>
        <w:spacing w:after="0"/>
        <w:rPr>
          <w:szCs w:val="24"/>
        </w:rPr>
      </w:pPr>
      <w:bookmarkStart w:id="12" w:name="_Toc511056640"/>
      <w:r w:rsidRPr="0077606A">
        <w:rPr>
          <w:szCs w:val="24"/>
        </w:rPr>
        <w:t>Poverty</w:t>
      </w:r>
      <w:r w:rsidR="00D939BF" w:rsidRPr="0077606A">
        <w:rPr>
          <w:szCs w:val="24"/>
        </w:rPr>
        <w:t xml:space="preserve"> and social exclusion data</w:t>
      </w:r>
      <w:bookmarkEnd w:id="12"/>
    </w:p>
    <w:p w14:paraId="371DE1E7" w14:textId="77777777" w:rsidR="004F5C94" w:rsidRPr="004F5C94" w:rsidRDefault="004F5C94" w:rsidP="0016304F">
      <w:pPr>
        <w:spacing w:after="0"/>
      </w:pPr>
    </w:p>
    <w:p w14:paraId="174FE7B5" w14:textId="77777777" w:rsidR="00404D1C" w:rsidRDefault="00404D1C" w:rsidP="0016304F">
      <w:pPr>
        <w:pStyle w:val="BodyText"/>
        <w:spacing w:after="0"/>
      </w:pPr>
      <w:r>
        <w:t>EU SILC data provides indicators of the key risks for people with disabilities. In addition to household risks of low work intensity, there are risks of low income (after social transfers), and material deprivation. These three measures are combined in the overall estimate of risk. The risks for older people do not include work intensity (Eurostat refers to the age group 0-59 for this measure). The survey does not distinguish ‘activity limitation’ (the proxy for impairment/disability) for children under the age of 16. Relevant data provided by the national expert is added where available.</w:t>
      </w:r>
    </w:p>
    <w:p w14:paraId="58964B65" w14:textId="77777777" w:rsidR="00B77F7D" w:rsidRDefault="00B77F7D" w:rsidP="0016304F">
      <w:pPr>
        <w:spacing w:after="0"/>
        <w:rPr>
          <w:b/>
          <w:bCs/>
          <w:sz w:val="20"/>
          <w:szCs w:val="18"/>
        </w:rPr>
      </w:pPr>
      <w:r>
        <w:br w:type="page"/>
      </w:r>
    </w:p>
    <w:p w14:paraId="6F78BD41" w14:textId="3CF33072" w:rsidR="00404D1C" w:rsidRDefault="00404D1C" w:rsidP="0016304F">
      <w:pPr>
        <w:pStyle w:val="Caption"/>
      </w:pPr>
      <w:r>
        <w:lastRenderedPageBreak/>
        <w:t xml:space="preserve">Table </w:t>
      </w:r>
      <w:r w:rsidR="0016304F">
        <w:fldChar w:fldCharType="begin"/>
      </w:r>
      <w:r w:rsidR="0016304F">
        <w:instrText xml:space="preserve"> SEQ Table \* ARABIC </w:instrText>
      </w:r>
      <w:r w:rsidR="0016304F">
        <w:fldChar w:fldCharType="separate"/>
      </w:r>
      <w:r>
        <w:rPr>
          <w:noProof/>
        </w:rPr>
        <w:t>17</w:t>
      </w:r>
      <w:r w:rsidR="0016304F">
        <w:rPr>
          <w:noProof/>
        </w:rPr>
        <w:fldChar w:fldCharType="end"/>
      </w:r>
      <w:r>
        <w:t>:</w:t>
      </w:r>
      <w:r w:rsidRPr="0098674F">
        <w:t xml:space="preserve"> </w:t>
      </w:r>
      <w:r>
        <w:t>People living in household poverty and exclusion by disability and risk (aged 16-59)</w:t>
      </w:r>
    </w:p>
    <w:p w14:paraId="060150CA" w14:textId="77777777" w:rsidR="00404D1C" w:rsidRDefault="00404D1C" w:rsidP="0016304F">
      <w:pPr>
        <w:spacing w:after="0"/>
      </w:pPr>
      <w:r>
        <w:rPr>
          <w:noProof/>
          <w:lang w:eastAsia="en-GB"/>
        </w:rPr>
        <w:drawing>
          <wp:inline distT="0" distB="0" distL="0" distR="0" wp14:anchorId="72A75939" wp14:editId="1916C4A3">
            <wp:extent cx="5486400" cy="2590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8517B1" w14:textId="2DBA71E2"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64AFB31B" w14:textId="77777777" w:rsidR="0016304F" w:rsidRDefault="0016304F" w:rsidP="0016304F">
      <w:pPr>
        <w:pStyle w:val="Sourcereference"/>
        <w:rPr>
          <w:lang w:eastAsia="en-GB"/>
        </w:rPr>
      </w:pPr>
    </w:p>
    <w:p w14:paraId="3BEAD7FD"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18</w:t>
      </w:r>
      <w:r w:rsidR="0016304F">
        <w:rPr>
          <w:noProof/>
        </w:rPr>
        <w:fldChar w:fldCharType="end"/>
      </w:r>
      <w:r>
        <w:t xml:space="preserve">: </w:t>
      </w:r>
      <w:r w:rsidRPr="00A37C30">
        <w:t xml:space="preserve">People living in household poverty and exclusion by </w:t>
      </w:r>
      <w:r>
        <w:t xml:space="preserve">disability and gender </w:t>
      </w:r>
      <w:r w:rsidRPr="00A37C30">
        <w:t>(aged 16</w:t>
      </w:r>
      <w:r>
        <w:t>+</w:t>
      </w:r>
      <w:r w:rsidRPr="00A37C30">
        <w:t>)</w:t>
      </w:r>
    </w:p>
    <w:p w14:paraId="3B6CD3F6" w14:textId="77777777" w:rsidR="00404D1C" w:rsidRDefault="00404D1C" w:rsidP="0016304F">
      <w:pPr>
        <w:spacing w:after="0"/>
      </w:pPr>
      <w:r>
        <w:rPr>
          <w:noProof/>
          <w:lang w:eastAsia="en-GB"/>
        </w:rPr>
        <w:drawing>
          <wp:inline distT="0" distB="0" distL="0" distR="0" wp14:anchorId="19826E78" wp14:editId="3BD4AF7C">
            <wp:extent cx="5581934" cy="2361062"/>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0C500B" w14:textId="77777777"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4867A15E" w14:textId="77777777" w:rsidR="00404D1C" w:rsidRDefault="00404D1C" w:rsidP="0016304F">
      <w:pPr>
        <w:spacing w:after="0"/>
      </w:pPr>
    </w:p>
    <w:p w14:paraId="4AA67827" w14:textId="77777777" w:rsidR="00404D1C" w:rsidRDefault="00404D1C" w:rsidP="0016304F">
      <w:pPr>
        <w:spacing w:after="0"/>
        <w:rPr>
          <w:b/>
          <w:bCs/>
          <w:sz w:val="20"/>
          <w:szCs w:val="18"/>
        </w:rPr>
      </w:pPr>
      <w:r>
        <w:br w:type="page"/>
      </w:r>
    </w:p>
    <w:p w14:paraId="6F5C444F" w14:textId="77777777" w:rsidR="00404D1C" w:rsidRDefault="00404D1C" w:rsidP="0016304F">
      <w:pPr>
        <w:pStyle w:val="Caption"/>
      </w:pPr>
      <w:r>
        <w:lastRenderedPageBreak/>
        <w:t xml:space="preserve">Table </w:t>
      </w:r>
      <w:r w:rsidR="0016304F">
        <w:fldChar w:fldCharType="begin"/>
      </w:r>
      <w:r w:rsidR="0016304F">
        <w:instrText xml:space="preserve"> SEQ Table \* ARABIC </w:instrText>
      </w:r>
      <w:r w:rsidR="0016304F">
        <w:fldChar w:fldCharType="separate"/>
      </w:r>
      <w:r>
        <w:rPr>
          <w:noProof/>
        </w:rPr>
        <w:t>19</w:t>
      </w:r>
      <w:r w:rsidR="0016304F">
        <w:rPr>
          <w:noProof/>
        </w:rPr>
        <w:fldChar w:fldCharType="end"/>
      </w:r>
      <w:r>
        <w:t>: Overall risk of</w:t>
      </w:r>
      <w:r w:rsidRPr="00C679CD">
        <w:t xml:space="preserve"> household poverty </w:t>
      </w:r>
      <w:r>
        <w:t xml:space="preserve">or exclusion by disability and age </w:t>
      </w:r>
      <w:r w:rsidRPr="00C679CD">
        <w:t>(</w:t>
      </w:r>
      <w:r>
        <w:t>aged 16+</w:t>
      </w:r>
      <w:r w:rsidRPr="00C679CD">
        <w:t>)</w:t>
      </w:r>
    </w:p>
    <w:p w14:paraId="41B58A3A" w14:textId="77777777" w:rsidR="00404D1C" w:rsidRDefault="00404D1C" w:rsidP="0016304F">
      <w:pPr>
        <w:spacing w:after="0"/>
      </w:pPr>
      <w:r>
        <w:rPr>
          <w:noProof/>
          <w:lang w:eastAsia="en-GB"/>
        </w:rPr>
        <w:drawing>
          <wp:inline distT="0" distB="0" distL="0" distR="0" wp14:anchorId="695D033B" wp14:editId="3051F0CF">
            <wp:extent cx="5486400" cy="2590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84B2E7" w14:textId="4134D2BA" w:rsidR="00404D1C" w:rsidRDefault="00404D1C" w:rsidP="0016304F">
      <w:pPr>
        <w:pStyle w:val="Sourcereference"/>
        <w:rPr>
          <w:lang w:eastAsia="en-GB"/>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p>
    <w:p w14:paraId="2284EEF5" w14:textId="77777777" w:rsidR="0016304F" w:rsidRDefault="0016304F" w:rsidP="0016304F">
      <w:pPr>
        <w:pStyle w:val="Sourcereference"/>
        <w:rPr>
          <w:lang w:eastAsia="en-GB"/>
        </w:rPr>
      </w:pPr>
    </w:p>
    <w:p w14:paraId="39D02DF9" w14:textId="77777777" w:rsidR="00404D1C" w:rsidRDefault="00404D1C" w:rsidP="0016304F">
      <w:pPr>
        <w:pStyle w:val="Caption"/>
      </w:pPr>
      <w:r>
        <w:t xml:space="preserve">Table </w:t>
      </w:r>
      <w:r w:rsidR="0016304F">
        <w:fldChar w:fldCharType="begin"/>
      </w:r>
      <w:r w:rsidR="0016304F">
        <w:instrText xml:space="preserve"> SEQ Table \* ARABIC </w:instrText>
      </w:r>
      <w:r w:rsidR="0016304F">
        <w:fldChar w:fldCharType="separate"/>
      </w:r>
      <w:r>
        <w:rPr>
          <w:noProof/>
        </w:rPr>
        <w:t>20</w:t>
      </w:r>
      <w:r w:rsidR="0016304F">
        <w:rPr>
          <w:noProof/>
        </w:rPr>
        <w:fldChar w:fldCharType="end"/>
      </w:r>
      <w:r>
        <w:t>: Trends in household risk of poverty and exclusion</w:t>
      </w:r>
      <w:r w:rsidRPr="00755A21">
        <w:t xml:space="preserve"> </w:t>
      </w:r>
      <w:r>
        <w:t xml:space="preserve">by disability and age </w:t>
      </w:r>
      <w:r w:rsidRPr="00755A21">
        <w:t xml:space="preserve">(EU-SILC </w:t>
      </w:r>
      <w:r>
        <w:t>2015</w:t>
      </w:r>
      <w:r w:rsidRPr="00755A21">
        <w:t>)</w:t>
      </w:r>
    </w:p>
    <w:p w14:paraId="02806C39" w14:textId="77777777" w:rsidR="00404D1C" w:rsidRDefault="00404D1C" w:rsidP="0016304F">
      <w:pPr>
        <w:spacing w:after="0"/>
      </w:pPr>
      <w:r>
        <w:rPr>
          <w:noProof/>
          <w:lang w:eastAsia="en-GB"/>
        </w:rPr>
        <w:drawing>
          <wp:inline distT="0" distB="0" distL="0" distR="0" wp14:anchorId="52901123" wp14:editId="7BEE40AE">
            <wp:extent cx="5486400" cy="4043083"/>
            <wp:effectExtent l="0" t="0" r="19050" b="146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FCF5E6" w14:textId="13C4741E" w:rsidR="00DF1931" w:rsidRPr="00286B5C" w:rsidRDefault="00404D1C" w:rsidP="0016304F">
      <w:pPr>
        <w:pStyle w:val="Sourcereference"/>
        <w:rPr>
          <w:sz w:val="20"/>
          <w:szCs w:val="20"/>
        </w:rPr>
      </w:pPr>
      <w:r w:rsidRPr="00E024C9">
        <w:t xml:space="preserve">Source: </w:t>
      </w:r>
      <w:r w:rsidRPr="00E024C9">
        <w:rPr>
          <w:lang w:eastAsia="en-GB"/>
        </w:rPr>
        <w:t xml:space="preserve">EUSILC UDB </w:t>
      </w:r>
      <w:r>
        <w:rPr>
          <w:lang w:eastAsia="en-GB"/>
        </w:rPr>
        <w:t>2015</w:t>
      </w:r>
      <w:r w:rsidRPr="00E024C9">
        <w:rPr>
          <w:lang w:eastAsia="en-GB"/>
        </w:rPr>
        <w:t xml:space="preserve"> – version </w:t>
      </w:r>
      <w:r>
        <w:rPr>
          <w:lang w:eastAsia="en-GB"/>
        </w:rPr>
        <w:t>of October 2017</w:t>
      </w:r>
      <w:r w:rsidRPr="00E024C9">
        <w:rPr>
          <w:lang w:eastAsia="en-GB"/>
        </w:rPr>
        <w:t xml:space="preserve"> (and previous UDB</w:t>
      </w:r>
      <w:r w:rsidR="00DF1931" w:rsidRPr="00286B5C">
        <w:rPr>
          <w:sz w:val="20"/>
          <w:szCs w:val="20"/>
        </w:rPr>
        <w:t>)</w:t>
      </w:r>
    </w:p>
    <w:p w14:paraId="25442D67" w14:textId="77777777" w:rsidR="00B72FE2" w:rsidRDefault="00B72FE2" w:rsidP="0016304F">
      <w:pPr>
        <w:pStyle w:val="Un-numberedsubheading"/>
        <w:spacing w:after="0"/>
        <w:rPr>
          <w:b w:val="0"/>
          <w:bCs/>
        </w:rPr>
      </w:pPr>
    </w:p>
    <w:p w14:paraId="51537852" w14:textId="77777777" w:rsidR="00B72FE2" w:rsidRDefault="00B72FE2" w:rsidP="0016304F">
      <w:pPr>
        <w:spacing w:after="0"/>
        <w:rPr>
          <w:b/>
          <w:bCs/>
        </w:rPr>
      </w:pPr>
      <w:r>
        <w:rPr>
          <w:bCs/>
        </w:rPr>
        <w:br w:type="page"/>
      </w:r>
    </w:p>
    <w:p w14:paraId="684378F2" w14:textId="2861F728" w:rsidR="00755A21" w:rsidRPr="00B72FE2" w:rsidRDefault="0010423F" w:rsidP="0016304F">
      <w:pPr>
        <w:pStyle w:val="Un-numberedsubheading"/>
        <w:spacing w:after="0"/>
        <w:rPr>
          <w:bCs/>
        </w:rPr>
      </w:pPr>
      <w:r w:rsidRPr="00B72FE2">
        <w:rPr>
          <w:bCs/>
        </w:rPr>
        <w:lastRenderedPageBreak/>
        <w:t xml:space="preserve">Alternative </w:t>
      </w:r>
      <w:r w:rsidR="00CC6322" w:rsidRPr="00B72FE2">
        <w:rPr>
          <w:bCs/>
        </w:rPr>
        <w:t xml:space="preserve">data on disability and </w:t>
      </w:r>
      <w:r w:rsidR="007360E6" w:rsidRPr="00B72FE2">
        <w:rPr>
          <w:bCs/>
        </w:rPr>
        <w:t>risk</w:t>
      </w:r>
      <w:r w:rsidR="00803568" w:rsidRPr="00B72FE2">
        <w:rPr>
          <w:bCs/>
        </w:rPr>
        <w:t xml:space="preserve"> of poverty or social exclusion</w:t>
      </w:r>
      <w:r w:rsidR="007360E6" w:rsidRPr="00B72FE2">
        <w:rPr>
          <w:bCs/>
        </w:rPr>
        <w:t xml:space="preserve"> </w:t>
      </w:r>
      <w:r w:rsidR="00803568" w:rsidRPr="00B72FE2">
        <w:rPr>
          <w:bCs/>
        </w:rPr>
        <w:t>provided by the national expert</w:t>
      </w:r>
      <w:r w:rsidRPr="00B72FE2">
        <w:rPr>
          <w:bCs/>
        </w:rPr>
        <w:t>:</w:t>
      </w:r>
    </w:p>
    <w:p w14:paraId="7F83D1EC" w14:textId="77777777" w:rsidR="0022619B" w:rsidRPr="00BD586D" w:rsidRDefault="0022619B" w:rsidP="0016304F">
      <w:pPr>
        <w:pStyle w:val="Un-numberedsubheading"/>
        <w:spacing w:after="0"/>
        <w:rPr>
          <w:b w:val="0"/>
          <w:bCs/>
        </w:rPr>
      </w:pPr>
    </w:p>
    <w:p w14:paraId="7F194E28" w14:textId="3962667A" w:rsidR="00E427CF" w:rsidRPr="00BD586D" w:rsidRDefault="00E427CF" w:rsidP="0016304F">
      <w:pPr>
        <w:pStyle w:val="Un-numberedsubheading"/>
        <w:spacing w:after="0"/>
        <w:rPr>
          <w:b w:val="0"/>
          <w:bCs/>
        </w:rPr>
      </w:pPr>
      <w:r w:rsidRPr="00BD586D">
        <w:rPr>
          <w:b w:val="0"/>
          <w:bCs/>
        </w:rPr>
        <w:t>Fo</w:t>
      </w:r>
      <w:r w:rsidR="0022619B" w:rsidRPr="00BD586D">
        <w:rPr>
          <w:b w:val="0"/>
          <w:bCs/>
        </w:rPr>
        <w:t>llowing the harmonisation and d</w:t>
      </w:r>
      <w:r w:rsidRPr="00BD586D">
        <w:rPr>
          <w:b w:val="0"/>
          <w:bCs/>
        </w:rPr>
        <w:t>evelopment of EU-SILC data collection in the UK</w:t>
      </w:r>
      <w:r w:rsidR="00C55E91">
        <w:rPr>
          <w:b w:val="0"/>
          <w:bCs/>
        </w:rPr>
        <w:t>,</w:t>
      </w:r>
      <w:r w:rsidRPr="00BD586D">
        <w:rPr>
          <w:b w:val="0"/>
          <w:bCs/>
        </w:rPr>
        <w:t xml:space="preserve"> using the sample of the </w:t>
      </w:r>
      <w:r w:rsidR="0033741E" w:rsidRPr="00BD586D">
        <w:rPr>
          <w:b w:val="0"/>
          <w:bCs/>
        </w:rPr>
        <w:t xml:space="preserve">national </w:t>
      </w:r>
      <w:r w:rsidRPr="00BD586D">
        <w:rPr>
          <w:b w:val="0"/>
          <w:bCs/>
        </w:rPr>
        <w:t xml:space="preserve">Family Resources Survey, </w:t>
      </w:r>
      <w:r w:rsidR="0033741E" w:rsidRPr="00BD586D">
        <w:rPr>
          <w:b w:val="0"/>
          <w:bCs/>
        </w:rPr>
        <w:t xml:space="preserve">any </w:t>
      </w:r>
      <w:r w:rsidRPr="00BD586D">
        <w:rPr>
          <w:b w:val="0"/>
          <w:bCs/>
        </w:rPr>
        <w:t xml:space="preserve">national </w:t>
      </w:r>
      <w:r w:rsidR="00965469" w:rsidRPr="00BD586D">
        <w:rPr>
          <w:b w:val="0"/>
          <w:bCs/>
        </w:rPr>
        <w:t>indicators</w:t>
      </w:r>
      <w:r w:rsidRPr="00BD586D">
        <w:rPr>
          <w:b w:val="0"/>
          <w:bCs/>
        </w:rPr>
        <w:t xml:space="preserve"> of poverty risk should be equivalent with EU</w:t>
      </w:r>
      <w:r w:rsidR="00965469" w:rsidRPr="00BD586D">
        <w:rPr>
          <w:b w:val="0"/>
          <w:bCs/>
        </w:rPr>
        <w:t>-SILC</w:t>
      </w:r>
      <w:r w:rsidRPr="00BD586D">
        <w:rPr>
          <w:b w:val="0"/>
          <w:bCs/>
        </w:rPr>
        <w:t xml:space="preserve"> estimates (at least from 2012</w:t>
      </w:r>
      <w:r w:rsidR="00200C0D">
        <w:rPr>
          <w:b w:val="0"/>
          <w:bCs/>
        </w:rPr>
        <w:t xml:space="preserve"> onwards</w:t>
      </w:r>
      <w:r w:rsidRPr="00BD586D">
        <w:rPr>
          <w:b w:val="0"/>
          <w:bCs/>
        </w:rPr>
        <w:t>).</w:t>
      </w:r>
      <w:r w:rsidR="00B17774">
        <w:rPr>
          <w:b w:val="0"/>
          <w:bCs/>
        </w:rPr>
        <w:t xml:space="preserve"> There is no better alternative source.</w:t>
      </w:r>
    </w:p>
    <w:p w14:paraId="08D84574" w14:textId="77777777" w:rsidR="0022619B" w:rsidRPr="00BD586D" w:rsidRDefault="0022619B" w:rsidP="0016304F">
      <w:pPr>
        <w:pStyle w:val="Un-numberedsubheading"/>
        <w:spacing w:after="0"/>
        <w:rPr>
          <w:b w:val="0"/>
          <w:bCs/>
        </w:rPr>
      </w:pPr>
    </w:p>
    <w:p w14:paraId="5A6E5525" w14:textId="7A14FA8E" w:rsidR="009417F6" w:rsidRPr="00BD586D" w:rsidRDefault="004159F5" w:rsidP="0016304F">
      <w:pPr>
        <w:pStyle w:val="Un-numberedsubheading"/>
        <w:spacing w:after="0"/>
        <w:rPr>
          <w:b w:val="0"/>
          <w:bCs/>
        </w:rPr>
      </w:pPr>
      <w:r w:rsidRPr="00BD586D">
        <w:rPr>
          <w:b w:val="0"/>
          <w:bCs/>
        </w:rPr>
        <w:t>The</w:t>
      </w:r>
      <w:r w:rsidR="009D7561" w:rsidRPr="00BD586D">
        <w:rPr>
          <w:b w:val="0"/>
          <w:bCs/>
        </w:rPr>
        <w:t xml:space="preserve"> </w:t>
      </w:r>
      <w:r w:rsidR="009D7561" w:rsidRPr="00BD586D">
        <w:rPr>
          <w:b w:val="0"/>
          <w:bCs/>
          <w:i/>
        </w:rPr>
        <w:t>Progress Report</w:t>
      </w:r>
      <w:r w:rsidRPr="00BD586D">
        <w:rPr>
          <w:b w:val="0"/>
          <w:bCs/>
          <w:i/>
        </w:rPr>
        <w:t xml:space="preserve"> 2014</w:t>
      </w:r>
      <w:r w:rsidRPr="00BD586D">
        <w:rPr>
          <w:b w:val="0"/>
          <w:bCs/>
        </w:rPr>
        <w:t xml:space="preserve"> </w:t>
      </w:r>
      <w:r w:rsidR="007008D3" w:rsidRPr="00BD586D">
        <w:rPr>
          <w:b w:val="0"/>
          <w:bCs/>
        </w:rPr>
        <w:t xml:space="preserve">on </w:t>
      </w:r>
      <w:r w:rsidR="009D7561" w:rsidRPr="00BD586D">
        <w:rPr>
          <w:b w:val="0"/>
          <w:bCs/>
        </w:rPr>
        <w:t>the national disability strategy indicator Framework include</w:t>
      </w:r>
      <w:r w:rsidRPr="00BD586D">
        <w:rPr>
          <w:b w:val="0"/>
          <w:bCs/>
        </w:rPr>
        <w:t>d</w:t>
      </w:r>
      <w:r w:rsidR="009D7561" w:rsidRPr="00BD586D">
        <w:rPr>
          <w:b w:val="0"/>
          <w:bCs/>
        </w:rPr>
        <w:t xml:space="preserve"> several indicators under the heading of ‘income’, </w:t>
      </w:r>
      <w:r w:rsidRPr="00BD586D">
        <w:rPr>
          <w:b w:val="0"/>
          <w:bCs/>
        </w:rPr>
        <w:t>with</w:t>
      </w:r>
      <w:r w:rsidR="009D7561" w:rsidRPr="00BD586D">
        <w:rPr>
          <w:b w:val="0"/>
          <w:bCs/>
        </w:rPr>
        <w:t xml:space="preserve"> measures of household poverty and measures of children living in household poverty</w:t>
      </w:r>
      <w:r w:rsidR="00574C72" w:rsidRPr="00BD586D">
        <w:rPr>
          <w:b w:val="0"/>
          <w:bCs/>
        </w:rPr>
        <w:t xml:space="preserve"> disaggregated by disability status of the child or another family member (this national disaggregation is not available at the EU level). The indicators </w:t>
      </w:r>
      <w:r w:rsidRPr="00BD586D">
        <w:rPr>
          <w:b w:val="0"/>
          <w:bCs/>
        </w:rPr>
        <w:t xml:space="preserve">were </w:t>
      </w:r>
      <w:r w:rsidR="00574C72" w:rsidRPr="00BD586D">
        <w:rPr>
          <w:b w:val="0"/>
          <w:bCs/>
        </w:rPr>
        <w:t xml:space="preserve">mostly populated until 2012, </w:t>
      </w:r>
      <w:r w:rsidR="00200C0D">
        <w:rPr>
          <w:b w:val="0"/>
          <w:bCs/>
        </w:rPr>
        <w:t>but</w:t>
      </w:r>
      <w:r w:rsidR="00574C72" w:rsidRPr="00BD586D">
        <w:rPr>
          <w:b w:val="0"/>
          <w:bCs/>
        </w:rPr>
        <w:t xml:space="preserve"> have not been updated </w:t>
      </w:r>
      <w:r w:rsidR="00252BD2" w:rsidRPr="00BD586D">
        <w:rPr>
          <w:b w:val="0"/>
          <w:bCs/>
        </w:rPr>
        <w:t>since</w:t>
      </w:r>
      <w:r w:rsidR="00574C72" w:rsidRPr="00BD586D">
        <w:rPr>
          <w:b w:val="0"/>
          <w:bCs/>
        </w:rPr>
        <w:t>.</w:t>
      </w:r>
      <w:r w:rsidR="009417F6" w:rsidRPr="00BD586D">
        <w:rPr>
          <w:b w:val="0"/>
          <w:bCs/>
        </w:rPr>
        <w:t xml:space="preserve"> </w:t>
      </w:r>
    </w:p>
    <w:p w14:paraId="55C55E42" w14:textId="77777777" w:rsidR="00B2465C" w:rsidRDefault="0010423F" w:rsidP="0016304F">
      <w:pPr>
        <w:pStyle w:val="Heading1"/>
      </w:pPr>
      <w:bookmarkStart w:id="13" w:name="_Toc511056641"/>
      <w:r w:rsidRPr="0077606A">
        <w:lastRenderedPageBreak/>
        <w:t>Description of the situation and trends in relation to each target area</w:t>
      </w:r>
      <w:bookmarkEnd w:id="13"/>
    </w:p>
    <w:p w14:paraId="0FBDE072" w14:textId="77777777" w:rsidR="0022619B" w:rsidRPr="0022619B" w:rsidRDefault="0022619B" w:rsidP="0016304F">
      <w:pPr>
        <w:spacing w:after="0"/>
      </w:pPr>
    </w:p>
    <w:p w14:paraId="0258406C" w14:textId="77777777" w:rsidR="0010423F" w:rsidRDefault="0010423F" w:rsidP="0016304F">
      <w:pPr>
        <w:pStyle w:val="Heading2"/>
        <w:spacing w:after="0"/>
        <w:rPr>
          <w:szCs w:val="24"/>
        </w:rPr>
      </w:pPr>
      <w:bookmarkStart w:id="14" w:name="_Toc511056642"/>
      <w:r w:rsidRPr="0077606A">
        <w:rPr>
          <w:szCs w:val="24"/>
        </w:rPr>
        <w:t>Employment</w:t>
      </w:r>
      <w:bookmarkEnd w:id="14"/>
    </w:p>
    <w:p w14:paraId="0EAC1BE5" w14:textId="77777777" w:rsidR="0022619B" w:rsidRPr="0022619B" w:rsidRDefault="0022619B" w:rsidP="0016304F">
      <w:pPr>
        <w:spacing w:after="0"/>
      </w:pPr>
    </w:p>
    <w:p w14:paraId="648E9ECD" w14:textId="144F8EAF" w:rsidR="00A52882" w:rsidRDefault="00D73030" w:rsidP="0016304F">
      <w:pPr>
        <w:spacing w:after="0"/>
      </w:pPr>
      <w:r>
        <w:t>Compared to other EU Member States, the UK is characterised by a high general employment rate but a wide disability employment gap. In this respect the UK remain an outlier for poor disability employment outcomes among the stronger labour markets in Europe. Unemployment is low while economic inactivity among disabled people appears comparatively high.</w:t>
      </w:r>
      <w:r w:rsidR="00A52882" w:rsidRPr="00A52882">
        <w:t xml:space="preserve"> </w:t>
      </w:r>
      <w:r w:rsidR="00A52882">
        <w:t>In its 2017 Concluding Observations, the UN CRPD Committee observed the ‘p</w:t>
      </w:r>
      <w:r w:rsidR="00A52882" w:rsidRPr="00B574B1">
        <w:t>ersistent employment gap and pay gap</w:t>
      </w:r>
      <w:r w:rsidR="00A52882">
        <w:t>’ for disabled people in the UK</w:t>
      </w:r>
      <w:r w:rsidR="00A52882" w:rsidRPr="00B574B1">
        <w:t xml:space="preserve">, </w:t>
      </w:r>
      <w:r w:rsidR="00A52882">
        <w:t>‘</w:t>
      </w:r>
      <w:r w:rsidR="00A52882" w:rsidRPr="00B574B1">
        <w:t>especially women and persons with psychosocial and/or intellectual disabilities, as well as persons with visual impairments</w:t>
      </w:r>
      <w:r w:rsidR="00A52882">
        <w:t>’.</w:t>
      </w:r>
      <w:r w:rsidR="00A52882">
        <w:rPr>
          <w:rStyle w:val="FootnoteReference"/>
        </w:rPr>
        <w:footnoteReference w:id="32"/>
      </w:r>
      <w:r w:rsidR="00A52882">
        <w:t xml:space="preserve"> </w:t>
      </w:r>
    </w:p>
    <w:p w14:paraId="3D9B66BC" w14:textId="43D4965C" w:rsidR="00D73030" w:rsidRDefault="00D73030" w:rsidP="0016304F">
      <w:pPr>
        <w:spacing w:after="0"/>
      </w:pPr>
    </w:p>
    <w:p w14:paraId="315E9EBA" w14:textId="4CD9039C" w:rsidR="0022619B" w:rsidRDefault="00A506E4" w:rsidP="0016304F">
      <w:pPr>
        <w:spacing w:after="0"/>
      </w:pPr>
      <w:r w:rsidRPr="0077606A">
        <w:t xml:space="preserve">The UK Government publishes regular official statistics on </w:t>
      </w:r>
      <w:r w:rsidR="003D3B50" w:rsidRPr="0077606A">
        <w:t xml:space="preserve">disability and </w:t>
      </w:r>
      <w:r w:rsidRPr="0077606A">
        <w:t xml:space="preserve">employment, </w:t>
      </w:r>
      <w:r w:rsidR="003D3B50" w:rsidRPr="0077606A">
        <w:t>using</w:t>
      </w:r>
      <w:r w:rsidRPr="0077606A">
        <w:t xml:space="preserve"> </w:t>
      </w:r>
      <w:r w:rsidR="003D3B50" w:rsidRPr="0077606A">
        <w:t>its</w:t>
      </w:r>
      <w:r w:rsidRPr="0077606A">
        <w:t xml:space="preserve"> national Labour Force Survey</w:t>
      </w:r>
      <w:r w:rsidR="00AB449B" w:rsidRPr="0077606A">
        <w:t>,</w:t>
      </w:r>
      <w:r w:rsidRPr="0077606A">
        <w:t xml:space="preserve"> and </w:t>
      </w:r>
      <w:r w:rsidR="003D3B50" w:rsidRPr="0077606A">
        <w:t xml:space="preserve">announced </w:t>
      </w:r>
      <w:r w:rsidR="00B02D37">
        <w:t xml:space="preserve">in 2015 </w:t>
      </w:r>
      <w:r w:rsidRPr="0077606A">
        <w:t xml:space="preserve">a target to halve the disability employment gap. </w:t>
      </w:r>
      <w:r w:rsidR="001B20FF" w:rsidRPr="0077606A">
        <w:t xml:space="preserve">This gap </w:t>
      </w:r>
      <w:r w:rsidR="007A039F">
        <w:t xml:space="preserve">remains large, </w:t>
      </w:r>
      <w:r w:rsidR="001B20FF" w:rsidRPr="00373FCD">
        <w:t xml:space="preserve">at more than </w:t>
      </w:r>
      <w:r w:rsidRPr="00373FCD">
        <w:t>3</w:t>
      </w:r>
      <w:r w:rsidR="007A039F">
        <w:t>1</w:t>
      </w:r>
      <w:r w:rsidRPr="00373FCD">
        <w:t xml:space="preserve"> percentage points</w:t>
      </w:r>
      <w:r w:rsidR="001B20FF" w:rsidRPr="0077606A">
        <w:t>, although it has continued to narrow throughout the period of the crisis</w:t>
      </w:r>
      <w:r w:rsidR="00014F94">
        <w:t xml:space="preserve"> and </w:t>
      </w:r>
      <w:r w:rsidR="00A52882">
        <w:t xml:space="preserve">the </w:t>
      </w:r>
      <w:r w:rsidR="00B02D37">
        <w:t>LFS data confirm a continued increase in the number of disabled people in paid work (as for the general population).</w:t>
      </w:r>
      <w:r w:rsidR="00014F94" w:rsidRPr="00014F94">
        <w:t xml:space="preserve"> </w:t>
      </w:r>
      <w:r w:rsidR="00014F94" w:rsidRPr="0077606A">
        <w:t xml:space="preserve">As noted in </w:t>
      </w:r>
      <w:r w:rsidR="007A039F">
        <w:t>recent</w:t>
      </w:r>
      <w:r w:rsidR="00014F94" w:rsidRPr="0077606A">
        <w:t xml:space="preserve"> CSR</w:t>
      </w:r>
      <w:r w:rsidR="007A039F">
        <w:t>s</w:t>
      </w:r>
      <w:r w:rsidR="00014F94" w:rsidRPr="0077606A">
        <w:t xml:space="preserve">, the </w:t>
      </w:r>
      <w:r w:rsidR="007A039F">
        <w:t xml:space="preserve">headline </w:t>
      </w:r>
      <w:r w:rsidR="00014F94" w:rsidRPr="004159F5">
        <w:t xml:space="preserve">labour market </w:t>
      </w:r>
      <w:r w:rsidR="007A039F">
        <w:t xml:space="preserve">trends are positive </w:t>
      </w:r>
      <w:r w:rsidR="00014F94" w:rsidRPr="0077606A">
        <w:t>but ‘</w:t>
      </w:r>
      <w:r w:rsidR="00014F94">
        <w:t>there remains scope for improvement in the prospects for inactive, underemployed and low skilled workers’</w:t>
      </w:r>
      <w:r w:rsidR="00014F94" w:rsidRPr="0077606A">
        <w:t>.</w:t>
      </w:r>
      <w:r w:rsidR="00014F94" w:rsidRPr="0077606A">
        <w:rPr>
          <w:rStyle w:val="FootnoteReference"/>
        </w:rPr>
        <w:footnoteReference w:id="33"/>
      </w:r>
      <w:r w:rsidR="00014F94">
        <w:t xml:space="preserve"> Disabled people are over-represented in these categories.</w:t>
      </w:r>
      <w:r w:rsidR="00C2327A">
        <w:t xml:space="preserve"> The national risk of low work intensity for disabled people in </w:t>
      </w:r>
      <w:r w:rsidR="00C2327A" w:rsidRPr="00ED7FAA">
        <w:t>EU-SILC 201</w:t>
      </w:r>
      <w:r w:rsidR="00883A5D" w:rsidRPr="009718E4">
        <w:t>5</w:t>
      </w:r>
      <w:r w:rsidR="00C2327A" w:rsidRPr="009853D0">
        <w:t xml:space="preserve"> (</w:t>
      </w:r>
      <w:r w:rsidR="00883A5D" w:rsidRPr="009718E4">
        <w:t>32</w:t>
      </w:r>
      <w:r w:rsidR="00C2327A" w:rsidRPr="00ED7FAA">
        <w:t xml:space="preserve">%) </w:t>
      </w:r>
      <w:r w:rsidR="007859CB">
        <w:t>is</w:t>
      </w:r>
      <w:r w:rsidR="007859CB" w:rsidRPr="00045058">
        <w:t xml:space="preserve"> </w:t>
      </w:r>
      <w:r w:rsidR="00883A5D" w:rsidRPr="009718E4">
        <w:t>among</w:t>
      </w:r>
      <w:r w:rsidR="00C2327A" w:rsidRPr="00045058">
        <w:t xml:space="preserve"> the highest in the EU</w:t>
      </w:r>
      <w:r w:rsidR="00883A5D">
        <w:t xml:space="preserve"> (and compared to just 6.9% for </w:t>
      </w:r>
      <w:r w:rsidR="00A52882">
        <w:t>non-disabled</w:t>
      </w:r>
      <w:r w:rsidR="00883A5D">
        <w:t xml:space="preserve"> persons)</w:t>
      </w:r>
      <w:r w:rsidR="00C2327A" w:rsidRPr="00045058">
        <w:t>.</w:t>
      </w:r>
    </w:p>
    <w:p w14:paraId="0A85547A" w14:textId="77777777" w:rsidR="00B574B1" w:rsidRDefault="00B574B1" w:rsidP="0016304F">
      <w:pPr>
        <w:spacing w:after="0"/>
      </w:pPr>
    </w:p>
    <w:p w14:paraId="01DB2D03" w14:textId="4905C7BC" w:rsidR="00014F94" w:rsidRDefault="00B75F6D" w:rsidP="0016304F">
      <w:pPr>
        <w:spacing w:after="0"/>
      </w:pPr>
      <w:r>
        <w:t xml:space="preserve">The trends identified in our previous analyses remain, although the situation improves slightly. </w:t>
      </w:r>
      <w:r w:rsidR="001B20FF" w:rsidRPr="0077606A">
        <w:t xml:space="preserve">The </w:t>
      </w:r>
      <w:r w:rsidR="00AB449B" w:rsidRPr="0077606A">
        <w:t xml:space="preserve">employment </w:t>
      </w:r>
      <w:r w:rsidR="001B20FF" w:rsidRPr="0077606A">
        <w:t xml:space="preserve">situation for disabled people </w:t>
      </w:r>
      <w:r w:rsidR="003D3B50" w:rsidRPr="0077606A">
        <w:t xml:space="preserve">in the UK </w:t>
      </w:r>
      <w:r>
        <w:t>is</w:t>
      </w:r>
      <w:r w:rsidRPr="0077606A">
        <w:t xml:space="preserve"> </w:t>
      </w:r>
      <w:r w:rsidR="001B20FF" w:rsidRPr="0077606A">
        <w:t xml:space="preserve">paradoxical. For the general population, </w:t>
      </w:r>
      <w:r w:rsidR="00014F94">
        <w:t>the</w:t>
      </w:r>
      <w:r w:rsidR="001B20FF" w:rsidRPr="0077606A">
        <w:t xml:space="preserve"> employment rate is higher than the EU average</w:t>
      </w:r>
      <w:r w:rsidR="00FF5D7A" w:rsidRPr="00FF5D7A">
        <w:t xml:space="preserve"> </w:t>
      </w:r>
      <w:r w:rsidR="00FF5D7A">
        <w:t xml:space="preserve">and on a </w:t>
      </w:r>
      <w:r w:rsidR="00FF5D7A" w:rsidRPr="0077606A">
        <w:t xml:space="preserve">positive trend for at least </w:t>
      </w:r>
      <w:r w:rsidR="00FF5D7A">
        <w:t>five</w:t>
      </w:r>
      <w:r w:rsidR="00FF5D7A" w:rsidRPr="0077606A">
        <w:t xml:space="preserve"> years</w:t>
      </w:r>
      <w:r w:rsidR="001B20FF" w:rsidRPr="0077606A">
        <w:t>. It rose past its 2008 pre-crisis peak in October 2014 and reached an all-time record high in 2015</w:t>
      </w:r>
      <w:r w:rsidR="004159F5">
        <w:t>, 2016</w:t>
      </w:r>
      <w:r w:rsidR="007A039F">
        <w:t xml:space="preserve"> and </w:t>
      </w:r>
      <w:r>
        <w:t xml:space="preserve">again </w:t>
      </w:r>
      <w:r w:rsidR="007A039F">
        <w:t>2017</w:t>
      </w:r>
      <w:r w:rsidR="001B20FF" w:rsidRPr="0077606A">
        <w:t>.</w:t>
      </w:r>
      <w:r w:rsidR="001B20FF" w:rsidRPr="0077606A">
        <w:rPr>
          <w:rStyle w:val="FootnoteReference"/>
        </w:rPr>
        <w:footnoteReference w:id="34"/>
      </w:r>
      <w:r w:rsidR="001B20FF" w:rsidRPr="0077606A">
        <w:t xml:space="preserve">. </w:t>
      </w:r>
      <w:r w:rsidR="00BC2070" w:rsidRPr="0077606A">
        <w:t>Despite this, d</w:t>
      </w:r>
      <w:r w:rsidR="001B20FF" w:rsidRPr="0077606A">
        <w:t xml:space="preserve">isabled people’s employment </w:t>
      </w:r>
      <w:r w:rsidR="00AB449B" w:rsidRPr="0077606A">
        <w:t>remains</w:t>
      </w:r>
      <w:r w:rsidR="00BC2070" w:rsidRPr="0077606A">
        <w:t xml:space="preserve"> </w:t>
      </w:r>
      <w:r w:rsidR="001B20FF" w:rsidRPr="0077606A">
        <w:t xml:space="preserve">below the EU average, </w:t>
      </w:r>
      <w:r w:rsidR="00BC2070" w:rsidRPr="0077606A">
        <w:t xml:space="preserve">although it </w:t>
      </w:r>
      <w:r w:rsidR="00782321">
        <w:t>continues to rise</w:t>
      </w:r>
      <w:r w:rsidR="00BC2070" w:rsidRPr="0077606A">
        <w:t xml:space="preserve"> slowly</w:t>
      </w:r>
      <w:r w:rsidR="00FF5D7A">
        <w:t>, and t</w:t>
      </w:r>
      <w:r w:rsidR="00F77BF9">
        <w:t>he disability employment gap in the UK remains one of the widest in the EU, although it continues to narrow marginally.</w:t>
      </w:r>
    </w:p>
    <w:p w14:paraId="6BB004AC" w14:textId="77777777" w:rsidR="00782321" w:rsidRDefault="00782321" w:rsidP="0016304F">
      <w:pPr>
        <w:spacing w:after="0"/>
      </w:pPr>
    </w:p>
    <w:p w14:paraId="74FC60B3" w14:textId="027CF617" w:rsidR="00BC2070" w:rsidRDefault="00014F94" w:rsidP="0016304F">
      <w:pPr>
        <w:spacing w:after="0"/>
      </w:pPr>
      <w:r>
        <w:t>The employment</w:t>
      </w:r>
      <w:r w:rsidRPr="0077606A">
        <w:t xml:space="preserve"> </w:t>
      </w:r>
      <w:r w:rsidR="00174183">
        <w:t>gap</w:t>
      </w:r>
      <w:r w:rsidR="00174183" w:rsidRPr="0077606A">
        <w:t xml:space="preserve"> </w:t>
      </w:r>
      <w:r w:rsidR="00BC2070" w:rsidRPr="0077606A">
        <w:t xml:space="preserve">is </w:t>
      </w:r>
      <w:r w:rsidR="00174183">
        <w:t xml:space="preserve">particularly </w:t>
      </w:r>
      <w:r>
        <w:t>marked</w:t>
      </w:r>
      <w:r w:rsidR="00BC2070" w:rsidRPr="0077606A">
        <w:t xml:space="preserve"> for people who report severe levels of impairment</w:t>
      </w:r>
      <w:r w:rsidR="00174183">
        <w:t xml:space="preserve"> and i</w:t>
      </w:r>
      <w:r w:rsidR="006A1792" w:rsidRPr="0077606A">
        <w:t>t</w:t>
      </w:r>
      <w:r w:rsidR="00BC2070" w:rsidRPr="0077606A">
        <w:t xml:space="preserve"> </w:t>
      </w:r>
      <w:r w:rsidR="006A1792" w:rsidRPr="0077606A">
        <w:t xml:space="preserve">is </w:t>
      </w:r>
      <w:r>
        <w:t>more</w:t>
      </w:r>
      <w:r w:rsidRPr="0077606A">
        <w:t xml:space="preserve"> </w:t>
      </w:r>
      <w:r w:rsidR="006A1792" w:rsidRPr="0077606A">
        <w:t xml:space="preserve">evident </w:t>
      </w:r>
      <w:r w:rsidR="00174183">
        <w:t>among</w:t>
      </w:r>
      <w:r w:rsidR="00174183" w:rsidRPr="0077606A">
        <w:t xml:space="preserve"> </w:t>
      </w:r>
      <w:r w:rsidR="00BC2070" w:rsidRPr="0077606A">
        <w:t>disabled men</w:t>
      </w:r>
      <w:r w:rsidR="00174183">
        <w:t xml:space="preserve"> (</w:t>
      </w:r>
      <w:r w:rsidR="00BC2070" w:rsidRPr="0077606A">
        <w:t>while the employment rate for disabled women approach</w:t>
      </w:r>
      <w:r w:rsidR="003D3B50" w:rsidRPr="0077606A">
        <w:t>es</w:t>
      </w:r>
      <w:r w:rsidR="00BC2070" w:rsidRPr="0077606A">
        <w:t xml:space="preserve"> the EU average</w:t>
      </w:r>
      <w:r w:rsidR="00174183">
        <w:t>)</w:t>
      </w:r>
      <w:r w:rsidR="001B20FF" w:rsidRPr="0077606A">
        <w:t xml:space="preserve">. UK </w:t>
      </w:r>
      <w:r w:rsidR="003D3B50" w:rsidRPr="0077606A">
        <w:t xml:space="preserve">disability employment </w:t>
      </w:r>
      <w:r w:rsidR="001B20FF" w:rsidRPr="0077606A">
        <w:t xml:space="preserve">rates track below the EU trend across the life course, with low </w:t>
      </w:r>
      <w:r w:rsidR="007E200D" w:rsidRPr="0077606A">
        <w:t xml:space="preserve">levels of </w:t>
      </w:r>
      <w:r w:rsidR="001B20FF" w:rsidRPr="0077606A">
        <w:t>employment for young</w:t>
      </w:r>
      <w:r w:rsidR="003D3B50" w:rsidRPr="0077606A">
        <w:t>er</w:t>
      </w:r>
      <w:r w:rsidR="001B20FF" w:rsidRPr="0077606A">
        <w:t xml:space="preserve"> and older </w:t>
      </w:r>
      <w:r w:rsidR="007E200D" w:rsidRPr="0077606A">
        <w:t xml:space="preserve">disabled </w:t>
      </w:r>
      <w:r w:rsidR="001B20FF" w:rsidRPr="0077606A">
        <w:t>workers, and relatively weak employment gains for disabled people in mid</w:t>
      </w:r>
      <w:r w:rsidR="00174183">
        <w:t xml:space="preserve">-career </w:t>
      </w:r>
      <w:r w:rsidR="001B20FF" w:rsidRPr="0077606A">
        <w:t xml:space="preserve">adulthood. In </w:t>
      </w:r>
      <w:r w:rsidR="00BC2070" w:rsidRPr="0077606A">
        <w:t xml:space="preserve">such </w:t>
      </w:r>
      <w:r w:rsidR="001B20FF" w:rsidRPr="0077606A">
        <w:t xml:space="preserve">a high participation labour market </w:t>
      </w:r>
      <w:r w:rsidR="003D3B50" w:rsidRPr="0077606A">
        <w:t>the</w:t>
      </w:r>
      <w:r w:rsidR="001B20FF" w:rsidRPr="0077606A">
        <w:t xml:space="preserve"> </w:t>
      </w:r>
      <w:r w:rsidR="007E200D" w:rsidRPr="0077606A">
        <w:t xml:space="preserve">employment </w:t>
      </w:r>
      <w:r w:rsidR="00AB449B" w:rsidRPr="0077606A">
        <w:t>situation</w:t>
      </w:r>
      <w:r w:rsidR="001B20FF" w:rsidRPr="0077606A">
        <w:t xml:space="preserve"> of disabled people does not present a positive picture </w:t>
      </w:r>
      <w:r w:rsidR="003D3B50" w:rsidRPr="0077606A">
        <w:t xml:space="preserve">and </w:t>
      </w:r>
      <w:r w:rsidR="003D3B50" w:rsidRPr="0077606A">
        <w:lastRenderedPageBreak/>
        <w:t xml:space="preserve">the </w:t>
      </w:r>
      <w:r w:rsidR="00AB449B" w:rsidRPr="0077606A">
        <w:t>government’s</w:t>
      </w:r>
      <w:r w:rsidR="003D3B50" w:rsidRPr="0077606A">
        <w:t xml:space="preserve"> </w:t>
      </w:r>
      <w:r w:rsidR="00174183">
        <w:t>NRP commitment</w:t>
      </w:r>
      <w:r w:rsidR="00174183" w:rsidRPr="0077606A">
        <w:t xml:space="preserve"> </w:t>
      </w:r>
      <w:r w:rsidR="00AB449B" w:rsidRPr="0077606A">
        <w:t xml:space="preserve">to halve the </w:t>
      </w:r>
      <w:r w:rsidR="007E200D" w:rsidRPr="0077606A">
        <w:t>equality</w:t>
      </w:r>
      <w:r w:rsidR="00AB449B" w:rsidRPr="0077606A">
        <w:t xml:space="preserve"> gap </w:t>
      </w:r>
      <w:r w:rsidR="00174183">
        <w:t>remains</w:t>
      </w:r>
      <w:r w:rsidR="00174183" w:rsidRPr="0077606A">
        <w:t xml:space="preserve"> </w:t>
      </w:r>
      <w:r w:rsidR="00174183">
        <w:t xml:space="preserve">very </w:t>
      </w:r>
      <w:r w:rsidR="003D3B50" w:rsidRPr="0077606A">
        <w:t>challenging to achieve.</w:t>
      </w:r>
    </w:p>
    <w:p w14:paraId="1116B76E" w14:textId="77777777" w:rsidR="00014F94" w:rsidRPr="0077606A" w:rsidRDefault="00014F94" w:rsidP="0016304F">
      <w:pPr>
        <w:spacing w:after="0"/>
      </w:pPr>
    </w:p>
    <w:p w14:paraId="2F87A8F0" w14:textId="129452F7" w:rsidR="001B20FF" w:rsidRDefault="00014F94" w:rsidP="0016304F">
      <w:pPr>
        <w:spacing w:after="0"/>
      </w:pPr>
      <w:r>
        <w:t>F</w:t>
      </w:r>
      <w:r w:rsidR="00CB5421" w:rsidRPr="0077606A">
        <w:t xml:space="preserve">indings were published in September 2015 from the third wave of the Life Opportunities Survey (LOS), a targeted national disability survey carried out in the period 2012-14. This </w:t>
      </w:r>
      <w:r>
        <w:t xml:space="preserve">also evidenced </w:t>
      </w:r>
      <w:r w:rsidR="00673E72">
        <w:t xml:space="preserve">the </w:t>
      </w:r>
      <w:r>
        <w:t xml:space="preserve">employment gap </w:t>
      </w:r>
      <w:r w:rsidR="00673E72">
        <w:t xml:space="preserve">at </w:t>
      </w:r>
      <w:r>
        <w:t>more than 30 points (</w:t>
      </w:r>
      <w:r w:rsidR="00CB5421" w:rsidRPr="0077606A">
        <w:t>33% compared to 69%</w:t>
      </w:r>
      <w:r>
        <w:t>),</w:t>
      </w:r>
      <w:r w:rsidR="00CB5421" w:rsidRPr="0077606A">
        <w:rPr>
          <w:rStyle w:val="FootnoteReference"/>
        </w:rPr>
        <w:footnoteReference w:id="35"/>
      </w:r>
      <w:r w:rsidR="00CB5421" w:rsidRPr="0077606A">
        <w:t xml:space="preserve"> </w:t>
      </w:r>
      <w:r w:rsidR="00673E72">
        <w:t xml:space="preserve">as well as </w:t>
      </w:r>
      <w:r>
        <w:t xml:space="preserve">reduced chances to hold a </w:t>
      </w:r>
      <w:r w:rsidR="00CB5421" w:rsidRPr="0077606A">
        <w:t xml:space="preserve">third level qualification </w:t>
      </w:r>
      <w:r>
        <w:t>or a</w:t>
      </w:r>
      <w:r w:rsidR="00CB5421" w:rsidRPr="0077606A">
        <w:t xml:space="preserve"> senior or professional job. </w:t>
      </w:r>
      <w:r w:rsidR="003E1FD5" w:rsidRPr="0077606A">
        <w:t>F</w:t>
      </w:r>
      <w:r w:rsidR="001B20FF" w:rsidRPr="0077606A">
        <w:t>indings from</w:t>
      </w:r>
      <w:r w:rsidR="00CB5421" w:rsidRPr="0077606A">
        <w:t xml:space="preserve"> the </w:t>
      </w:r>
      <w:r w:rsidR="003E1FD5" w:rsidRPr="0077606A">
        <w:t>previous</w:t>
      </w:r>
      <w:r w:rsidR="00CB5421" w:rsidRPr="0077606A">
        <w:t xml:space="preserve"> wave, </w:t>
      </w:r>
      <w:r w:rsidR="001B20FF" w:rsidRPr="0077606A">
        <w:t xml:space="preserve">published in 2014, </w:t>
      </w:r>
      <w:r w:rsidR="00CB5421" w:rsidRPr="0077606A">
        <w:t xml:space="preserve">showed that </w:t>
      </w:r>
      <w:r w:rsidR="001B20FF" w:rsidRPr="0077606A">
        <w:t xml:space="preserve">the most commonly reported barriers to work were ‘Family responsibilities’, ‘lack of job opportunities’ and ‘lack of qualifications/ experience/skills’. The most common enablers to work were ‘modified hours or days or reduced work hours’ and ‘tax credits’. </w:t>
      </w:r>
      <w:r w:rsidR="003E1FD5" w:rsidRPr="0077606A">
        <w:t>E</w:t>
      </w:r>
      <w:r w:rsidR="001B20FF" w:rsidRPr="0077606A">
        <w:t xml:space="preserve">ducational disadvantage and job matching </w:t>
      </w:r>
      <w:r w:rsidR="00CB5421" w:rsidRPr="0077606A">
        <w:t>were</w:t>
      </w:r>
      <w:r w:rsidR="001B20FF" w:rsidRPr="0077606A">
        <w:t xml:space="preserve"> </w:t>
      </w:r>
      <w:r w:rsidR="00CB5421" w:rsidRPr="0077606A">
        <w:t>significant challenges too</w:t>
      </w:r>
      <w:r w:rsidR="001B20FF" w:rsidRPr="0077606A">
        <w:t>.</w:t>
      </w:r>
      <w:r w:rsidR="001B20FF" w:rsidRPr="0077606A">
        <w:rPr>
          <w:vertAlign w:val="superscript"/>
        </w:rPr>
        <w:footnoteReference w:id="36"/>
      </w:r>
      <w:r w:rsidR="00673E72">
        <w:t xml:space="preserve"> It is unfortunate that this longitudinal national disability survey has been discontinued.</w:t>
      </w:r>
    </w:p>
    <w:p w14:paraId="0268DEF3" w14:textId="77777777" w:rsidR="0022619B" w:rsidRPr="0077606A" w:rsidRDefault="0022619B" w:rsidP="0016304F">
      <w:pPr>
        <w:spacing w:after="0"/>
      </w:pPr>
    </w:p>
    <w:p w14:paraId="0C3DC900" w14:textId="77777777" w:rsidR="0010423F" w:rsidRDefault="0010423F" w:rsidP="0016304F">
      <w:pPr>
        <w:pStyle w:val="Heading2"/>
        <w:spacing w:after="0"/>
        <w:rPr>
          <w:szCs w:val="24"/>
        </w:rPr>
      </w:pPr>
      <w:bookmarkStart w:id="15" w:name="_Toc511056643"/>
      <w:r w:rsidRPr="0077606A">
        <w:rPr>
          <w:szCs w:val="24"/>
        </w:rPr>
        <w:t>Education</w:t>
      </w:r>
      <w:bookmarkEnd w:id="15"/>
    </w:p>
    <w:p w14:paraId="1771BB76" w14:textId="77777777" w:rsidR="00BD586D" w:rsidRDefault="00BD586D" w:rsidP="0016304F">
      <w:pPr>
        <w:spacing w:after="0"/>
      </w:pPr>
    </w:p>
    <w:p w14:paraId="5AF6FA6C" w14:textId="3EE4E305" w:rsidR="00287BC4" w:rsidRDefault="00287BC4" w:rsidP="0016304F">
      <w:pPr>
        <w:spacing w:after="0"/>
      </w:pPr>
      <w:r>
        <w:t>According to compa</w:t>
      </w:r>
      <w:r w:rsidR="00BC54C9">
        <w:t xml:space="preserve">rative indications from EU-SILC, </w:t>
      </w:r>
      <w:r>
        <w:t xml:space="preserve">the disability education gap </w:t>
      </w:r>
      <w:r w:rsidR="00BC54C9">
        <w:t xml:space="preserve">in the UK </w:t>
      </w:r>
      <w:r>
        <w:t xml:space="preserve">is not </w:t>
      </w:r>
      <w:r w:rsidR="007859CB">
        <w:t>as</w:t>
      </w:r>
      <w:r>
        <w:t xml:space="preserve"> extreme as the employment gap</w:t>
      </w:r>
      <w:r w:rsidR="00E951B1">
        <w:t>, although it is significant</w:t>
      </w:r>
      <w:r>
        <w:t xml:space="preserve">. </w:t>
      </w:r>
      <w:r w:rsidR="007859CB">
        <w:t xml:space="preserve">This can be partly explained by the </w:t>
      </w:r>
      <w:r>
        <w:t>early leaving rate for the general population</w:t>
      </w:r>
      <w:r w:rsidR="007859CB">
        <w:t xml:space="preserve">, which is </w:t>
      </w:r>
      <w:r>
        <w:t>moderately high by European standards</w:t>
      </w:r>
      <w:r w:rsidR="007859CB">
        <w:t>. Concerns about skills have been expressed consistently in European Semester reviews but the</w:t>
      </w:r>
      <w:r>
        <w:t xml:space="preserve"> </w:t>
      </w:r>
      <w:r w:rsidRPr="0077606A">
        <w:t xml:space="preserve">risk of early leaving for </w:t>
      </w:r>
      <w:r>
        <w:t xml:space="preserve">both disabled and </w:t>
      </w:r>
      <w:r w:rsidRPr="0077606A">
        <w:t xml:space="preserve">non-disabled young people </w:t>
      </w:r>
      <w:r w:rsidR="007859CB">
        <w:t xml:space="preserve">has </w:t>
      </w:r>
      <w:r>
        <w:t>remained</w:t>
      </w:r>
      <w:r w:rsidRPr="0077606A">
        <w:t xml:space="preserve"> </w:t>
      </w:r>
      <w:r>
        <w:t>above</w:t>
      </w:r>
      <w:r w:rsidRPr="0077606A">
        <w:t xml:space="preserve"> the EU</w:t>
      </w:r>
      <w:r w:rsidR="00E951B1">
        <w:t xml:space="preserve"> </w:t>
      </w:r>
      <w:r w:rsidRPr="0077606A">
        <w:t>average in 201</w:t>
      </w:r>
      <w:r>
        <w:t xml:space="preserve">5, </w:t>
      </w:r>
      <w:r w:rsidR="007859CB">
        <w:t xml:space="preserve">significantly </w:t>
      </w:r>
      <w:r>
        <w:t>more so for disabled people</w:t>
      </w:r>
      <w:r w:rsidRPr="0077606A">
        <w:t xml:space="preserve">. National LFS data </w:t>
      </w:r>
      <w:r w:rsidR="007859CB">
        <w:t xml:space="preserve">indicates </w:t>
      </w:r>
      <w:r w:rsidRPr="0077606A">
        <w:t xml:space="preserve">the </w:t>
      </w:r>
      <w:r>
        <w:t xml:space="preserve">early laving rate for young disabled people to be twice that of other young people </w:t>
      </w:r>
      <w:r w:rsidRPr="0077606A">
        <w:t>in 201</w:t>
      </w:r>
      <w:r>
        <w:t>7 (</w:t>
      </w:r>
      <w:r w:rsidR="007859CB">
        <w:t>as shown</w:t>
      </w:r>
      <w:r>
        <w:t xml:space="preserve"> earlier in Section 2.3.1).</w:t>
      </w:r>
      <w:r w:rsidR="007859CB">
        <w:t xml:space="preserve"> </w:t>
      </w:r>
    </w:p>
    <w:p w14:paraId="04A33BB2" w14:textId="77777777" w:rsidR="00287BC4" w:rsidRDefault="00287BC4" w:rsidP="0016304F">
      <w:pPr>
        <w:spacing w:after="0"/>
      </w:pPr>
    </w:p>
    <w:p w14:paraId="5A8D8352" w14:textId="77777777" w:rsidR="007859CB" w:rsidRDefault="007859CB" w:rsidP="0016304F">
      <w:pPr>
        <w:spacing w:after="0"/>
      </w:pPr>
      <w:r>
        <w:t>N</w:t>
      </w:r>
      <w:r w:rsidRPr="0077606A">
        <w:t>ational and EU data on UK qualifications</w:t>
      </w:r>
      <w:r>
        <w:t xml:space="preserve"> are not always comparable (as noted</w:t>
      </w:r>
      <w:r w:rsidRPr="0077606A">
        <w:t xml:space="preserve"> in the 2014 CSRs</w:t>
      </w:r>
      <w:r>
        <w:t>)</w:t>
      </w:r>
      <w:r w:rsidRPr="0077606A">
        <w:t>, but young disabled people fare worse than the norm by a significant margin. They have been twice as likely as their non-disabled peers to fall out of education, employment and training altogether and are among the groups at highest risk of NEET.</w:t>
      </w:r>
      <w:r w:rsidRPr="0077606A">
        <w:rPr>
          <w:rStyle w:val="FootnoteReference"/>
        </w:rPr>
        <w:footnoteReference w:id="37"/>
      </w:r>
      <w:r w:rsidRPr="0077606A">
        <w:t xml:space="preserve"> National LFS data suggest that the true proportion of early leavers amongst disabled young people could be as high as one in </w:t>
      </w:r>
      <w:r>
        <w:t>four,</w:t>
      </w:r>
      <w:r w:rsidRPr="0077606A">
        <w:t xml:space="preserve"> and </w:t>
      </w:r>
      <w:r>
        <w:t>less than one third</w:t>
      </w:r>
      <w:r w:rsidRPr="0077606A">
        <w:t xml:space="preserve"> of 30-34 year-olds held an ISCED 5+ qualification in 201</w:t>
      </w:r>
      <w:r>
        <w:t>7</w:t>
      </w:r>
      <w:r w:rsidRPr="0077606A">
        <w:t xml:space="preserve"> compared </w:t>
      </w:r>
      <w:r>
        <w:t xml:space="preserve">with almost half </w:t>
      </w:r>
      <w:r w:rsidRPr="0077606A">
        <w:t>of non-disabled people in the target age group.</w:t>
      </w:r>
    </w:p>
    <w:p w14:paraId="7DE128F1" w14:textId="77777777" w:rsidR="007859CB" w:rsidRDefault="007859CB" w:rsidP="0016304F">
      <w:pPr>
        <w:spacing w:after="0"/>
      </w:pPr>
    </w:p>
    <w:p w14:paraId="7B6A5A06" w14:textId="6856B6AA" w:rsidR="00F14742" w:rsidRDefault="00287BC4" w:rsidP="0016304F">
      <w:pPr>
        <w:spacing w:after="0"/>
      </w:pPr>
      <w:r>
        <w:t>W</w:t>
      </w:r>
      <w:r w:rsidRPr="0077606A">
        <w:t xml:space="preserve">ide </w:t>
      </w:r>
      <w:r w:rsidR="007859CB">
        <w:t>inequalities</w:t>
      </w:r>
      <w:r w:rsidRPr="0077606A">
        <w:t xml:space="preserve"> </w:t>
      </w:r>
      <w:r w:rsidR="007859CB">
        <w:t xml:space="preserve">exist also </w:t>
      </w:r>
      <w:r w:rsidRPr="0077606A">
        <w:t>between UK regions on the headline measure (to an extent found only in the Southern European states, as noted by OECD in 2011) with the highest rates of early leaving corresponding to regional patterns of poverty and social exclusion.</w:t>
      </w:r>
      <w:r w:rsidRPr="0077606A">
        <w:rPr>
          <w:rStyle w:val="FootnoteReference"/>
        </w:rPr>
        <w:footnoteReference w:id="38"/>
      </w:r>
      <w:r w:rsidRPr="0077606A">
        <w:t xml:space="preserve"> This is true also </w:t>
      </w:r>
      <w:r>
        <w:t>for</w:t>
      </w:r>
      <w:r w:rsidRPr="0077606A">
        <w:t xml:space="preserve"> regional interaction of disability, poverty and education </w:t>
      </w:r>
      <w:r w:rsidR="007859CB">
        <w:t>but</w:t>
      </w:r>
      <w:r w:rsidRPr="0077606A">
        <w:t xml:space="preserve"> survey sample sizes make it difficult to evidence </w:t>
      </w:r>
      <w:r>
        <w:t xml:space="preserve">this </w:t>
      </w:r>
      <w:r w:rsidRPr="0077606A">
        <w:t xml:space="preserve">in the </w:t>
      </w:r>
      <w:r>
        <w:t xml:space="preserve">narrow </w:t>
      </w:r>
      <w:r w:rsidRPr="0077606A">
        <w:t>EU2020 target age group.</w:t>
      </w:r>
    </w:p>
    <w:p w14:paraId="1FC28B92" w14:textId="77777777" w:rsidR="00287BC4" w:rsidRDefault="00287BC4" w:rsidP="0016304F">
      <w:pPr>
        <w:spacing w:after="0"/>
      </w:pPr>
    </w:p>
    <w:p w14:paraId="414C3702" w14:textId="14860A32" w:rsidR="00340D91" w:rsidRDefault="00340D91" w:rsidP="0016304F">
      <w:pPr>
        <w:spacing w:after="0"/>
      </w:pPr>
      <w:r w:rsidRPr="0077606A">
        <w:lastRenderedPageBreak/>
        <w:t xml:space="preserve">Data from the third wave of the Life Opportunities Survey </w:t>
      </w:r>
      <w:r w:rsidR="00287BC4">
        <w:t xml:space="preserve">(a longitudinal national disability survey now discontinued) </w:t>
      </w:r>
      <w:r w:rsidRPr="0077606A">
        <w:t>show</w:t>
      </w:r>
      <w:r w:rsidR="00886E7C">
        <w:t xml:space="preserve">ed </w:t>
      </w:r>
      <w:r w:rsidRPr="0077606A">
        <w:t>‘less than a tenth of inactive adults with impairment at both waves having a degree, compared with a quarter of inactive adults without impairment’</w:t>
      </w:r>
      <w:r w:rsidRPr="0077606A">
        <w:rPr>
          <w:rStyle w:val="FootnoteReference"/>
        </w:rPr>
        <w:footnoteReference w:id="39"/>
      </w:r>
      <w:r w:rsidRPr="0077606A">
        <w:t xml:space="preserve"> (although </w:t>
      </w:r>
      <w:r w:rsidR="00287BC4">
        <w:t>this</w:t>
      </w:r>
      <w:r w:rsidR="00287BC4" w:rsidRPr="0077606A">
        <w:t xml:space="preserve"> </w:t>
      </w:r>
      <w:r w:rsidRPr="0077606A">
        <w:t>cover</w:t>
      </w:r>
      <w:r w:rsidR="00886E7C">
        <w:t>ed</w:t>
      </w:r>
      <w:r w:rsidRPr="0077606A">
        <w:t xml:space="preserve"> the age range 16-64, </w:t>
      </w:r>
      <w:r w:rsidR="00886E7C">
        <w:t>including</w:t>
      </w:r>
      <w:r w:rsidRPr="0077606A">
        <w:t xml:space="preserve"> </w:t>
      </w:r>
      <w:r w:rsidR="00886E7C">
        <w:t>people</w:t>
      </w:r>
      <w:r w:rsidR="00886E7C" w:rsidRPr="0077606A">
        <w:t xml:space="preserve"> </w:t>
      </w:r>
      <w:r w:rsidRPr="0077606A">
        <w:t xml:space="preserve">who acquired impairment after completing their education). </w:t>
      </w:r>
      <w:r w:rsidR="00B12575">
        <w:t>Nevertheless</w:t>
      </w:r>
      <w:r w:rsidRPr="0077606A">
        <w:t xml:space="preserve">, </w:t>
      </w:r>
      <w:r w:rsidR="00B12575">
        <w:t xml:space="preserve">administrative data suggests that </w:t>
      </w:r>
      <w:r w:rsidRPr="0077606A">
        <w:t>the number of disabled students in higher education</w:t>
      </w:r>
      <w:r w:rsidR="00B12575">
        <w:t xml:space="preserve"> (identifying as disabled)</w:t>
      </w:r>
      <w:r w:rsidRPr="0077606A">
        <w:t xml:space="preserve"> </w:t>
      </w:r>
      <w:r w:rsidR="00B12575">
        <w:t>continues to increase year on year</w:t>
      </w:r>
      <w:r w:rsidRPr="0077606A">
        <w:t xml:space="preserve">. </w:t>
      </w:r>
    </w:p>
    <w:p w14:paraId="71E3DCB4" w14:textId="77777777" w:rsidR="00ED7FAA" w:rsidRDefault="00ED7FAA" w:rsidP="0016304F">
      <w:pPr>
        <w:spacing w:after="0"/>
      </w:pPr>
    </w:p>
    <w:p w14:paraId="4D96DC27" w14:textId="71F13C30" w:rsidR="00ED7FAA" w:rsidRDefault="00ED7FAA" w:rsidP="0016304F">
      <w:pPr>
        <w:spacing w:after="0"/>
      </w:pPr>
      <w:r>
        <w:t>There has been a considerable increase in the number and proportion of students entering first degree courses and declaring a disability status. This has been estimated as 56% increase between 2010-11 and 2015-16.</w:t>
      </w:r>
      <w:r>
        <w:rPr>
          <w:rStyle w:val="FootnoteReference"/>
        </w:rPr>
        <w:footnoteReference w:id="40"/>
      </w:r>
      <w:r>
        <w:t xml:space="preserve"> Within this the key areas of growth have been in the identification specific conditions such as </w:t>
      </w:r>
      <w:r w:rsidRPr="00ED7FAA">
        <w:t>dyslexia</w:t>
      </w:r>
      <w:r>
        <w:t>/</w:t>
      </w:r>
      <w:r w:rsidRPr="00ED7FAA">
        <w:t>dyspraxia</w:t>
      </w:r>
      <w:r>
        <w:t xml:space="preserve"> and a</w:t>
      </w:r>
      <w:r w:rsidRPr="00ED7FAA">
        <w:t xml:space="preserve"> </w:t>
      </w:r>
      <w:r>
        <w:t xml:space="preserve">rapid </w:t>
      </w:r>
      <w:r w:rsidRPr="00ED7FAA">
        <w:t xml:space="preserve">increase in the number of students </w:t>
      </w:r>
      <w:r w:rsidR="00882C11">
        <w:t>disclosing</w:t>
      </w:r>
      <w:r w:rsidRPr="00ED7FAA">
        <w:t xml:space="preserve"> mental health conditions, which is placing a strain on college and university </w:t>
      </w:r>
      <w:r w:rsidR="00882C11">
        <w:t xml:space="preserve">support </w:t>
      </w:r>
      <w:r w:rsidRPr="00ED7FAA">
        <w:t>systems.</w:t>
      </w:r>
      <w:r>
        <w:t xml:space="preserve"> The latter increase was estimated at 220% in the same time frame.</w:t>
      </w:r>
      <w:r>
        <w:rPr>
          <w:rStyle w:val="FootnoteReference"/>
        </w:rPr>
        <w:footnoteReference w:id="41"/>
      </w:r>
      <w:r>
        <w:t xml:space="preserve"> </w:t>
      </w:r>
    </w:p>
    <w:p w14:paraId="23E70CF6" w14:textId="77777777" w:rsidR="0022619B" w:rsidRPr="0077606A" w:rsidRDefault="0022619B" w:rsidP="0016304F">
      <w:pPr>
        <w:spacing w:after="0"/>
      </w:pPr>
    </w:p>
    <w:p w14:paraId="47DA54E5" w14:textId="7541EDB6" w:rsidR="002E14FB" w:rsidRDefault="009912E9" w:rsidP="0016304F">
      <w:pPr>
        <w:spacing w:after="0"/>
      </w:pPr>
      <w:r w:rsidRPr="0077606A">
        <w:t>SKILL (the National Bureau for Students with Disabilities) previously identified three NEET risk factors for young disabled people: lack of expectations and public role models; lack of information or guidance about learning options; lack of support at key transition points. They highlighted the importance of needs assessments, transport, flexible learning options and personalised learning support.</w:t>
      </w:r>
      <w:r w:rsidRPr="0077606A">
        <w:rPr>
          <w:rStyle w:val="FootnoteReference"/>
        </w:rPr>
        <w:footnoteReference w:id="42"/>
      </w:r>
      <w:r w:rsidR="00340D91" w:rsidRPr="0077606A">
        <w:t xml:space="preserve"> </w:t>
      </w:r>
      <w:r w:rsidRPr="0077606A">
        <w:t xml:space="preserve">Those supported in the past by the Disabled Students Allowance experienced high retention rates (higher than non-disabled students) but those without support </w:t>
      </w:r>
      <w:r w:rsidR="00340D91" w:rsidRPr="0077606A">
        <w:t>were</w:t>
      </w:r>
      <w:r w:rsidRPr="0077606A">
        <w:t xml:space="preserve"> more likely than the average to drop out of higher education after the first year.</w:t>
      </w:r>
      <w:r w:rsidRPr="0077606A">
        <w:rPr>
          <w:rStyle w:val="FootnoteReference"/>
        </w:rPr>
        <w:footnoteReference w:id="43"/>
      </w:r>
      <w:r w:rsidRPr="0077606A">
        <w:t xml:space="preserve"> This underlines the </w:t>
      </w:r>
      <w:r w:rsidR="007859CB">
        <w:t>need for</w:t>
      </w:r>
      <w:r w:rsidRPr="0077606A">
        <w:t xml:space="preserve"> adequately resourced and personalised support</w:t>
      </w:r>
      <w:r w:rsidR="007859CB">
        <w:t>, which may be challenged by recent reforms of the support system (see Section 4.2)</w:t>
      </w:r>
      <w:r w:rsidRPr="0077606A">
        <w:t>.</w:t>
      </w:r>
    </w:p>
    <w:p w14:paraId="14A134CB" w14:textId="77777777" w:rsidR="00C2327A" w:rsidRDefault="00C2327A" w:rsidP="0016304F">
      <w:pPr>
        <w:spacing w:after="0"/>
      </w:pPr>
    </w:p>
    <w:p w14:paraId="62667258" w14:textId="77777777" w:rsidR="0010423F" w:rsidRDefault="0010423F" w:rsidP="0016304F">
      <w:pPr>
        <w:pStyle w:val="Heading2"/>
        <w:spacing w:after="0"/>
        <w:rPr>
          <w:szCs w:val="24"/>
        </w:rPr>
      </w:pPr>
      <w:bookmarkStart w:id="16" w:name="_Toc511056644"/>
      <w:r w:rsidRPr="0077606A">
        <w:rPr>
          <w:szCs w:val="24"/>
        </w:rPr>
        <w:t>Poverty and social inclusion</w:t>
      </w:r>
      <w:bookmarkEnd w:id="16"/>
    </w:p>
    <w:p w14:paraId="0F3D78C2" w14:textId="77777777" w:rsidR="0022619B" w:rsidRPr="0022619B" w:rsidRDefault="0022619B" w:rsidP="0016304F">
      <w:pPr>
        <w:spacing w:after="0"/>
      </w:pPr>
    </w:p>
    <w:p w14:paraId="077A08F7" w14:textId="4EB11AF8" w:rsidR="00B12575" w:rsidRDefault="00B12575" w:rsidP="0016304F">
      <w:pPr>
        <w:spacing w:after="0"/>
      </w:pPr>
      <w:r>
        <w:t xml:space="preserve">Compared to other EU Member States, the risks of relative poverty for disabled people in the UK are high and inequalities in this area have been </w:t>
      </w:r>
      <w:r w:rsidR="00BC54C9">
        <w:t>raised</w:t>
      </w:r>
      <w:r>
        <w:t xml:space="preserve"> as a matter of international concern. </w:t>
      </w:r>
      <w:r w:rsidR="005E68E1" w:rsidRPr="005E68E1">
        <w:t>Deficit reduction and welfare reform policies have targeting disability-related benefit expenditure. These reforms pose significant poverty risks, given the existing disability equality gaps, the close association between poverty and low work intensity, and the protective effect of additional disability costs benefits.</w:t>
      </w:r>
      <w:r w:rsidR="005E68E1">
        <w:t xml:space="preserve"> </w:t>
      </w:r>
      <w:r w:rsidR="00BC54C9">
        <w:t>The link between austerity policies, welfare reforms and poverty risk for disabled people was highlighted in independent investigation by the UN CRPD Committee</w:t>
      </w:r>
      <w:r w:rsidR="005E68E1">
        <w:t xml:space="preserve"> and </w:t>
      </w:r>
      <w:r w:rsidR="00BC54C9">
        <w:t>echoed in its Concluding Observations in October 2017.</w:t>
      </w:r>
      <w:r w:rsidR="00BC54C9">
        <w:rPr>
          <w:rStyle w:val="FootnoteReference"/>
        </w:rPr>
        <w:footnoteReference w:id="44"/>
      </w:r>
      <w:r w:rsidR="005E68E1">
        <w:t xml:space="preserve"> </w:t>
      </w:r>
    </w:p>
    <w:p w14:paraId="444E5556" w14:textId="1ED8617B" w:rsidR="005734E6" w:rsidRDefault="00BC54C9" w:rsidP="0016304F">
      <w:pPr>
        <w:spacing w:after="0"/>
      </w:pPr>
      <w:r>
        <w:lastRenderedPageBreak/>
        <w:t>The pattern of inequality indicated by EU-SILC remains broadly unaltered</w:t>
      </w:r>
      <w:r w:rsidR="005E68E1">
        <w:t xml:space="preserve"> from the previous year</w:t>
      </w:r>
      <w:r>
        <w:t xml:space="preserve">. </w:t>
      </w:r>
      <w:r w:rsidR="005E68E1">
        <w:t>T</w:t>
      </w:r>
      <w:r w:rsidR="005734E6" w:rsidRPr="0077606A">
        <w:t>here are wide equality gaps in the UK and these affect disabled people</w:t>
      </w:r>
      <w:r w:rsidR="00D4149C">
        <w:t xml:space="preserve"> </w:t>
      </w:r>
      <w:r w:rsidR="005E68E1">
        <w:t>disproportionately</w:t>
      </w:r>
      <w:r w:rsidR="005734E6" w:rsidRPr="0077606A">
        <w:t>, notably those of working age</w:t>
      </w:r>
      <w:r>
        <w:t xml:space="preserve"> and including those </w:t>
      </w:r>
      <w:r w:rsidR="005E68E1">
        <w:t xml:space="preserve">who are </w:t>
      </w:r>
      <w:r>
        <w:t>in work</w:t>
      </w:r>
      <w:r w:rsidR="005734E6" w:rsidRPr="0077606A">
        <w:t>.</w:t>
      </w:r>
      <w:r w:rsidR="00B01540">
        <w:rPr>
          <w:rStyle w:val="FootnoteReference"/>
        </w:rPr>
        <w:footnoteReference w:id="45"/>
      </w:r>
      <w:r w:rsidR="005734E6" w:rsidRPr="0077606A">
        <w:t xml:space="preserve"> </w:t>
      </w:r>
      <w:r>
        <w:t>The risk of poverty or social exclusion</w:t>
      </w:r>
      <w:r w:rsidRPr="0077606A">
        <w:t xml:space="preserve"> </w:t>
      </w:r>
      <w:r w:rsidR="005734E6" w:rsidRPr="0077606A">
        <w:t xml:space="preserve">is not </w:t>
      </w:r>
      <w:r w:rsidR="00062CD5" w:rsidRPr="0077606A">
        <w:t xml:space="preserve">so </w:t>
      </w:r>
      <w:r w:rsidR="00D4149C">
        <w:t>marked</w:t>
      </w:r>
      <w:r w:rsidR="005734E6" w:rsidRPr="0077606A">
        <w:t xml:space="preserve"> for </w:t>
      </w:r>
      <w:r w:rsidR="00D4149C">
        <w:t>people</w:t>
      </w:r>
      <w:r w:rsidR="00D4149C" w:rsidRPr="0077606A">
        <w:t xml:space="preserve"> </w:t>
      </w:r>
      <w:r w:rsidR="005734E6" w:rsidRPr="0077606A">
        <w:t>of retirement age, many of whom have acquired impairments later in life</w:t>
      </w:r>
      <w:r w:rsidR="005E68E1">
        <w:t xml:space="preserve"> and for whom pension income has been less eroded</w:t>
      </w:r>
      <w:r w:rsidR="005734E6" w:rsidRPr="0077606A">
        <w:t xml:space="preserve">. </w:t>
      </w:r>
      <w:r w:rsidR="00C2327A">
        <w:t>A</w:t>
      </w:r>
      <w:r w:rsidR="005734E6" w:rsidRPr="0077606A">
        <w:t xml:space="preserve">dults of working age are at greater risk of </w:t>
      </w:r>
      <w:r w:rsidR="00C2327A">
        <w:t xml:space="preserve">relative </w:t>
      </w:r>
      <w:r w:rsidR="005734E6" w:rsidRPr="0077606A">
        <w:t xml:space="preserve">household </w:t>
      </w:r>
      <w:r w:rsidR="00C2327A">
        <w:t xml:space="preserve">financial </w:t>
      </w:r>
      <w:r w:rsidR="005734E6" w:rsidRPr="0077606A">
        <w:t xml:space="preserve">poverty </w:t>
      </w:r>
      <w:r w:rsidR="00C2327A">
        <w:t>(after social transfers)</w:t>
      </w:r>
      <w:r w:rsidR="005734E6" w:rsidRPr="0077606A">
        <w:t xml:space="preserve"> than the EU average,</w:t>
      </w:r>
      <w:r w:rsidR="00C2327A">
        <w:t xml:space="preserve"> and this </w:t>
      </w:r>
      <w:r w:rsidR="005E68E1">
        <w:t xml:space="preserve">is </w:t>
      </w:r>
      <w:r w:rsidR="00C2327A">
        <w:t>more marked for disabled people of working age</w:t>
      </w:r>
      <w:r w:rsidR="005734E6" w:rsidRPr="0077606A">
        <w:t xml:space="preserve">. </w:t>
      </w:r>
      <w:r w:rsidR="00C2327A">
        <w:t>L</w:t>
      </w:r>
      <w:r w:rsidR="005734E6" w:rsidRPr="0077606A">
        <w:t>ow work intensity</w:t>
      </w:r>
      <w:r w:rsidR="00C2327A">
        <w:t xml:space="preserve"> is notable, with the non-disabled risk </w:t>
      </w:r>
      <w:r w:rsidR="005E68E1">
        <w:t xml:space="preserve">falling </w:t>
      </w:r>
      <w:r w:rsidR="00C2327A">
        <w:t xml:space="preserve">below the EU average </w:t>
      </w:r>
      <w:r w:rsidR="00B01540">
        <w:t xml:space="preserve">but </w:t>
      </w:r>
      <w:r w:rsidR="00C2327A">
        <w:t>the disabled risk well above it</w:t>
      </w:r>
      <w:r w:rsidR="005734E6" w:rsidRPr="0077606A">
        <w:t xml:space="preserve">. </w:t>
      </w:r>
      <w:r w:rsidR="00C2327A">
        <w:t>The same is true for material deprivation among people aged 16-64. It</w:t>
      </w:r>
      <w:r w:rsidR="00C2327A" w:rsidRPr="0077606A">
        <w:t xml:space="preserve"> </w:t>
      </w:r>
      <w:r w:rsidR="005734E6" w:rsidRPr="0077606A">
        <w:t>is true for both women and men, and the risk increases markedly with severity of impairment.</w:t>
      </w:r>
      <w:r w:rsidR="00C2327A">
        <w:t xml:space="preserve"> </w:t>
      </w:r>
      <w:r w:rsidR="005E68E1">
        <w:t>The disability poverty gaps contradict the general picture.</w:t>
      </w:r>
    </w:p>
    <w:p w14:paraId="0C2C9A30" w14:textId="77777777" w:rsidR="0022619B" w:rsidRPr="0077606A" w:rsidRDefault="0022619B" w:rsidP="0016304F">
      <w:pPr>
        <w:spacing w:after="0"/>
      </w:pPr>
    </w:p>
    <w:p w14:paraId="2623E407" w14:textId="6EA9CEA1" w:rsidR="005734E6" w:rsidRDefault="005734E6" w:rsidP="0016304F">
      <w:pPr>
        <w:spacing w:after="0"/>
      </w:pPr>
      <w:r w:rsidRPr="0077606A">
        <w:t>Amongst the general population the proportion of workless households has been falling, and household work intensity is rising</w:t>
      </w:r>
      <w:r w:rsidR="00A26046" w:rsidRPr="0077606A">
        <w:t xml:space="preserve"> for some time (</w:t>
      </w:r>
      <w:r w:rsidRPr="0077606A">
        <w:t>partly because of an increase in single lone parent households</w:t>
      </w:r>
      <w:r w:rsidR="00A26046" w:rsidRPr="0077606A">
        <w:t>)</w:t>
      </w:r>
      <w:r w:rsidRPr="0077606A">
        <w:t>.</w:t>
      </w:r>
      <w:r w:rsidRPr="0077606A">
        <w:rPr>
          <w:rStyle w:val="FootnoteReference"/>
        </w:rPr>
        <w:footnoteReference w:id="46"/>
      </w:r>
      <w:r w:rsidRPr="0077606A">
        <w:t xml:space="preserve"> At the same time, overall risk of household poverty and exclusion increased during the economic crisis, most dramatically for young</w:t>
      </w:r>
      <w:r w:rsidR="00A26046" w:rsidRPr="0077606A">
        <w:t>er</w:t>
      </w:r>
      <w:r w:rsidRPr="0077606A">
        <w:t xml:space="preserve"> </w:t>
      </w:r>
      <w:r w:rsidR="005E68E1">
        <w:t>adults</w:t>
      </w:r>
      <w:r w:rsidRPr="0077606A">
        <w:t>.</w:t>
      </w:r>
      <w:r w:rsidRPr="0077606A">
        <w:rPr>
          <w:vertAlign w:val="superscript"/>
        </w:rPr>
        <w:footnoteReference w:id="47"/>
      </w:r>
      <w:r w:rsidRPr="0077606A">
        <w:t xml:space="preserve"> The </w:t>
      </w:r>
      <w:r w:rsidR="00A26046" w:rsidRPr="0077606A">
        <w:t>main</w:t>
      </w:r>
      <w:r w:rsidRPr="0077606A">
        <w:t xml:space="preserve"> poverty risks </w:t>
      </w:r>
      <w:r w:rsidR="005E68E1">
        <w:t xml:space="preserve">in the UK </w:t>
      </w:r>
      <w:r w:rsidRPr="0077606A">
        <w:t>are associated with unemployment, under-employment, low pay and high housing rents</w:t>
      </w:r>
      <w:r w:rsidR="00A26046" w:rsidRPr="0077606A">
        <w:t xml:space="preserve"> and this is also the case for </w:t>
      </w:r>
      <w:r w:rsidRPr="0077606A">
        <w:t>disabled people.</w:t>
      </w:r>
    </w:p>
    <w:p w14:paraId="49EFAA0C" w14:textId="77777777" w:rsidR="0022619B" w:rsidRPr="0077606A" w:rsidRDefault="0022619B" w:rsidP="0016304F">
      <w:pPr>
        <w:spacing w:after="0"/>
      </w:pPr>
    </w:p>
    <w:p w14:paraId="0A5B6F78" w14:textId="0791F933" w:rsidR="005734E6" w:rsidRDefault="00A26046" w:rsidP="0016304F">
      <w:pPr>
        <w:spacing w:after="0"/>
      </w:pPr>
      <w:r w:rsidRPr="0077606A">
        <w:t xml:space="preserve">As reported </w:t>
      </w:r>
      <w:r w:rsidR="001D3DBF">
        <w:t>in previous years</w:t>
      </w:r>
      <w:r w:rsidR="005734E6" w:rsidRPr="0077606A">
        <w:t xml:space="preserve">, older disabled people are at less risk of poverty than younger disabled adults (and at less risk than the EU average). Many will have acquired impairments in old age, after accumulating lifetime contributory pensions and savings based on their employment careers during a period of economic growth and relatively high social protection. </w:t>
      </w:r>
      <w:r w:rsidR="000859B7" w:rsidRPr="0077606A">
        <w:t>Among the working age population m</w:t>
      </w:r>
      <w:r w:rsidR="005734E6" w:rsidRPr="0077606A">
        <w:t>ost people receiving long-term out-of-work benefits are disabled (or sick) and many have a mental health condition.</w:t>
      </w:r>
      <w:r w:rsidR="005734E6" w:rsidRPr="0077606A">
        <w:rPr>
          <w:vertAlign w:val="superscript"/>
        </w:rPr>
        <w:footnoteReference w:id="48"/>
      </w:r>
      <w:r w:rsidR="005734E6" w:rsidRPr="0077606A">
        <w:t xml:space="preserve"> On standard measures, disabled people in workless families are less likely to live in low income than non-disabled people and data suggest a reduction of income poverty risk over the period of the crisis (notably for child poverty risk). However, the way income poverty is measured underestimates the risk. The inclusion of benefits intended to mitigate</w:t>
      </w:r>
      <w:r w:rsidR="000859B7" w:rsidRPr="0077606A">
        <w:t xml:space="preserve"> the</w:t>
      </w:r>
      <w:r w:rsidR="005734E6" w:rsidRPr="0077606A">
        <w:t xml:space="preserve"> </w:t>
      </w:r>
      <w:r w:rsidR="005734E6" w:rsidRPr="0077606A">
        <w:rPr>
          <w:i/>
          <w:iCs/>
        </w:rPr>
        <w:t>additional</w:t>
      </w:r>
      <w:r w:rsidR="005734E6" w:rsidRPr="0077606A">
        <w:t xml:space="preserve"> costs of living for disabled people </w:t>
      </w:r>
      <w:r w:rsidR="000859B7" w:rsidRPr="0077606A">
        <w:t xml:space="preserve">has tended to </w:t>
      </w:r>
      <w:r w:rsidR="005734E6" w:rsidRPr="0077606A">
        <w:t>overestimate their income.</w:t>
      </w:r>
      <w:r w:rsidR="000859B7" w:rsidRPr="0077606A">
        <w:t xml:space="preserve"> It </w:t>
      </w:r>
      <w:r w:rsidR="005E68E1">
        <w:t>was</w:t>
      </w:r>
      <w:r w:rsidR="005E68E1" w:rsidRPr="0077606A">
        <w:t xml:space="preserve"> </w:t>
      </w:r>
      <w:r w:rsidR="000859B7" w:rsidRPr="0077606A">
        <w:t xml:space="preserve">estimated </w:t>
      </w:r>
      <w:r w:rsidR="005E68E1">
        <w:t xml:space="preserve">in 2014 </w:t>
      </w:r>
      <w:r w:rsidR="000859B7" w:rsidRPr="0077606A">
        <w:t>that e</w:t>
      </w:r>
      <w:r w:rsidR="005734E6" w:rsidRPr="0077606A">
        <w:t xml:space="preserve">xcluding such benefits </w:t>
      </w:r>
      <w:r w:rsidR="005E68E1">
        <w:t>would raise</w:t>
      </w:r>
      <w:r w:rsidR="005E68E1" w:rsidRPr="0077606A">
        <w:t xml:space="preserve"> </w:t>
      </w:r>
      <w:r w:rsidR="005734E6" w:rsidRPr="0077606A">
        <w:t>the income poverty risk by 4 percentage points and increase child poverty.</w:t>
      </w:r>
      <w:r w:rsidR="005734E6" w:rsidRPr="0077606A">
        <w:rPr>
          <w:vertAlign w:val="superscript"/>
        </w:rPr>
        <w:footnoteReference w:id="49"/>
      </w:r>
      <w:r w:rsidR="001D3DBF">
        <w:t xml:space="preserve"> It is these benefits that </w:t>
      </w:r>
      <w:r w:rsidR="005E68E1">
        <w:t>have been</w:t>
      </w:r>
      <w:r w:rsidR="001D3DBF">
        <w:t xml:space="preserve"> cut</w:t>
      </w:r>
      <w:r w:rsidR="00860083">
        <w:t>.</w:t>
      </w:r>
    </w:p>
    <w:p w14:paraId="70D011A7" w14:textId="77777777" w:rsidR="0022619B" w:rsidRPr="0077606A" w:rsidRDefault="0022619B" w:rsidP="0016304F">
      <w:pPr>
        <w:spacing w:after="0"/>
      </w:pPr>
    </w:p>
    <w:p w14:paraId="46B83FF1" w14:textId="682CE71F" w:rsidR="001E4166" w:rsidRPr="0077606A" w:rsidRDefault="003F6727" w:rsidP="0016304F">
      <w:pPr>
        <w:spacing w:after="0"/>
        <w:rPr>
          <w:rFonts w:eastAsia="SimSun"/>
          <w:lang w:eastAsia="en-GB"/>
        </w:rPr>
      </w:pPr>
      <w:r w:rsidRPr="0077606A">
        <w:t xml:space="preserve">For context, the Equality and Human Rights Council published a 2015 overview assessment, titled </w:t>
      </w:r>
      <w:r w:rsidRPr="0077606A">
        <w:rPr>
          <w:i/>
        </w:rPr>
        <w:t>Is Britain Fairer?</w:t>
      </w:r>
      <w:r w:rsidRPr="0077606A">
        <w:rPr>
          <w:rStyle w:val="FootnoteReference"/>
        </w:rPr>
        <w:footnoteReference w:id="50"/>
      </w:r>
      <w:r w:rsidRPr="0077606A">
        <w:t xml:space="preserve"> </w:t>
      </w:r>
      <w:r w:rsidR="00E472DF">
        <w:t>with</w:t>
      </w:r>
      <w:r w:rsidRPr="0077606A">
        <w:t xml:space="preserve"> both statistical and large</w:t>
      </w:r>
      <w:r w:rsidR="00B77F7D">
        <w:t>-</w:t>
      </w:r>
      <w:r w:rsidRPr="0077606A">
        <w:t xml:space="preserve">scale consultation evidence </w:t>
      </w:r>
      <w:r w:rsidR="00E472DF">
        <w:t>to support</w:t>
      </w:r>
      <w:r w:rsidR="00E472DF" w:rsidRPr="0077606A">
        <w:t xml:space="preserve"> </w:t>
      </w:r>
      <w:r w:rsidRPr="0077606A">
        <w:t>the data presented so far.</w:t>
      </w:r>
      <w:r w:rsidR="00860083">
        <w:t xml:space="preserve"> The New Policy Institute published a report on </w:t>
      </w:r>
      <w:r w:rsidR="00860083" w:rsidRPr="00286B5C">
        <w:rPr>
          <w:i/>
        </w:rPr>
        <w:t>Disability and Poverty</w:t>
      </w:r>
      <w:r w:rsidR="00860083">
        <w:t xml:space="preserve"> in 2016. This confirm</w:t>
      </w:r>
      <w:r w:rsidR="000E1E81">
        <w:t>ed</w:t>
      </w:r>
      <w:r w:rsidR="00860083">
        <w:t xml:space="preserve"> the high </w:t>
      </w:r>
      <w:r w:rsidR="00860083">
        <w:lastRenderedPageBreak/>
        <w:t xml:space="preserve">disability poverty rate and </w:t>
      </w:r>
      <w:r w:rsidR="00E472DF">
        <w:t>its</w:t>
      </w:r>
      <w:r w:rsidR="00860083">
        <w:t xml:space="preserve"> understatement in official statistics, </w:t>
      </w:r>
      <w:r w:rsidR="00D22A39">
        <w:t>noting</w:t>
      </w:r>
      <w:r w:rsidR="00860083">
        <w:t xml:space="preserve"> that ‘</w:t>
      </w:r>
      <w:r w:rsidR="00860083" w:rsidRPr="00860083">
        <w:t>almost half of people in poverty in the UK are in a household with a disabled person or are disabled themselves</w:t>
      </w:r>
      <w:r w:rsidR="00860083">
        <w:t>’</w:t>
      </w:r>
      <w:r w:rsidR="00860083" w:rsidRPr="00860083">
        <w:t>.</w:t>
      </w:r>
      <w:r w:rsidR="00860083">
        <w:rPr>
          <w:rStyle w:val="FootnoteReference"/>
        </w:rPr>
        <w:footnoteReference w:id="51"/>
      </w:r>
      <w:r w:rsidR="00860083" w:rsidRPr="00860083">
        <w:t xml:space="preserve"> </w:t>
      </w:r>
      <w:r w:rsidR="00D22A39">
        <w:t xml:space="preserve">The main conclusion </w:t>
      </w:r>
      <w:r w:rsidR="000E1E81">
        <w:t xml:space="preserve">was </w:t>
      </w:r>
      <w:r w:rsidR="00D22A39">
        <w:t>that ‘Reducing poverty among disabled people has to be at the heart of any attempts to reduce poverty overall in the United Kingdom’.</w:t>
      </w:r>
      <w:r w:rsidR="00E472DF" w:rsidRPr="00E472DF">
        <w:t xml:space="preserve"> </w:t>
      </w:r>
      <w:r w:rsidR="00E472DF">
        <w:t xml:space="preserve">It </w:t>
      </w:r>
      <w:r w:rsidR="000E1E81">
        <w:t xml:space="preserve">drew </w:t>
      </w:r>
      <w:r w:rsidR="00E472DF">
        <w:t>attention also to high housing costs as a factor, as well as employment, skills gaps and low pay.</w:t>
      </w:r>
    </w:p>
    <w:p w14:paraId="2579EDE0" w14:textId="77777777" w:rsidR="0010423F" w:rsidRDefault="0010423F" w:rsidP="0016304F">
      <w:pPr>
        <w:pStyle w:val="Heading1"/>
        <w:rPr>
          <w:lang w:eastAsia="en-GB"/>
        </w:rPr>
      </w:pPr>
      <w:bookmarkStart w:id="17" w:name="_Toc511056645"/>
      <w:r w:rsidRPr="0077606A">
        <w:rPr>
          <w:lang w:eastAsia="en-GB"/>
        </w:rPr>
        <w:lastRenderedPageBreak/>
        <w:t>Assessment of policies in place to meet the relevant headline targets</w:t>
      </w:r>
      <w:bookmarkEnd w:id="17"/>
    </w:p>
    <w:p w14:paraId="33EFF9D8" w14:textId="77777777" w:rsidR="00B77F7D" w:rsidRDefault="00B77F7D" w:rsidP="0016304F">
      <w:pPr>
        <w:spacing w:after="0"/>
        <w:rPr>
          <w:lang w:eastAsia="en-GB"/>
        </w:rPr>
      </w:pPr>
    </w:p>
    <w:p w14:paraId="2C326AAF" w14:textId="2D29B420" w:rsidR="006D5FD1" w:rsidRPr="00CF4E68" w:rsidRDefault="006D5FD1" w:rsidP="0016304F">
      <w:pPr>
        <w:spacing w:after="0"/>
        <w:rPr>
          <w:lang w:eastAsia="en-GB"/>
        </w:rPr>
      </w:pPr>
      <w:r>
        <w:rPr>
          <w:lang w:eastAsia="en-GB"/>
        </w:rPr>
        <w:t xml:space="preserve">There was increased evidence of </w:t>
      </w:r>
      <w:r w:rsidR="00FA32A2">
        <w:rPr>
          <w:lang w:eastAsia="en-GB"/>
        </w:rPr>
        <w:t xml:space="preserve">attention to </w:t>
      </w:r>
      <w:r>
        <w:rPr>
          <w:lang w:eastAsia="en-GB"/>
        </w:rPr>
        <w:t xml:space="preserve">disability </w:t>
      </w:r>
      <w:r w:rsidR="00FA32A2">
        <w:rPr>
          <w:lang w:eastAsia="en-GB"/>
        </w:rPr>
        <w:t>issues</w:t>
      </w:r>
      <w:r>
        <w:rPr>
          <w:lang w:eastAsia="en-GB"/>
        </w:rPr>
        <w:t xml:space="preserve"> in the UK’s 2017 NRP, with </w:t>
      </w:r>
      <w:r w:rsidR="00FA32A2">
        <w:rPr>
          <w:lang w:eastAsia="en-GB"/>
        </w:rPr>
        <w:t xml:space="preserve">direct </w:t>
      </w:r>
      <w:r>
        <w:rPr>
          <w:lang w:eastAsia="en-GB"/>
        </w:rPr>
        <w:t>references to disability policies in relation to: childcare (p. 24-25), and employment support (p. 36)</w:t>
      </w:r>
      <w:r w:rsidR="00FA32A2">
        <w:rPr>
          <w:lang w:eastAsia="en-GB"/>
        </w:rPr>
        <w:t>. Specific sections were devoted to addressing the disability employment gap, both nationally (pp. 36-37) and within the remit of the Scottish Government (pp. 40-41). However, disability was not referred to in relation to education, poverty or social exclusion (where concerns have been highlighted).</w:t>
      </w:r>
    </w:p>
    <w:p w14:paraId="1CDC64F7" w14:textId="77777777" w:rsidR="0022619B" w:rsidRPr="0022619B" w:rsidRDefault="0022619B" w:rsidP="0016304F">
      <w:pPr>
        <w:spacing w:after="0"/>
        <w:rPr>
          <w:lang w:eastAsia="en-GB"/>
        </w:rPr>
      </w:pPr>
    </w:p>
    <w:p w14:paraId="4E1A1446" w14:textId="77777777" w:rsidR="0010423F" w:rsidRDefault="0010423F" w:rsidP="0016304F">
      <w:pPr>
        <w:pStyle w:val="Heading2"/>
        <w:spacing w:after="0"/>
        <w:rPr>
          <w:szCs w:val="24"/>
        </w:rPr>
      </w:pPr>
      <w:bookmarkStart w:id="18" w:name="_Toc511056646"/>
      <w:r w:rsidRPr="0077606A">
        <w:rPr>
          <w:szCs w:val="24"/>
        </w:rPr>
        <w:t>Employment</w:t>
      </w:r>
      <w:bookmarkEnd w:id="18"/>
    </w:p>
    <w:p w14:paraId="59889247" w14:textId="77777777" w:rsidR="0022619B" w:rsidRPr="0022619B" w:rsidRDefault="0022619B" w:rsidP="0016304F">
      <w:pPr>
        <w:spacing w:after="0"/>
      </w:pPr>
    </w:p>
    <w:p w14:paraId="39E36162" w14:textId="42E7006A" w:rsidR="00185AA8" w:rsidRDefault="00185AA8" w:rsidP="0016304F">
      <w:pPr>
        <w:spacing w:after="0"/>
      </w:pPr>
      <w:r>
        <w:t xml:space="preserve">The 2017 Concluding Observations of the UN Committee on </w:t>
      </w:r>
      <w:r w:rsidR="000B37E3">
        <w:t>employment (</w:t>
      </w:r>
      <w:r>
        <w:t>Article 27 CRPD</w:t>
      </w:r>
      <w:r w:rsidR="000B37E3">
        <w:t>)</w:t>
      </w:r>
      <w:r>
        <w:t xml:space="preserve"> identified ‘</w:t>
      </w:r>
      <w:r w:rsidRPr="00185AA8">
        <w:t>insufficient affirmative action measures and provision of reasonable accommodation</w:t>
      </w:r>
      <w:r>
        <w:t xml:space="preserve">’, expressing specific concern about the implementation of </w:t>
      </w:r>
      <w:r w:rsidRPr="00185AA8">
        <w:t>Work Capability Assessment</w:t>
      </w:r>
      <w:r>
        <w:t xml:space="preserve"> and</w:t>
      </w:r>
      <w:r w:rsidRPr="00185AA8">
        <w:t xml:space="preserve"> E</w:t>
      </w:r>
      <w:r>
        <w:t>mployment and Support Allowance. This was linked explicitly to</w:t>
      </w:r>
      <w:r w:rsidR="008858F3">
        <w:t xml:space="preserve"> concern about meeting </w:t>
      </w:r>
      <w:r>
        <w:t xml:space="preserve">the non-discrimination obligations arising from </w:t>
      </w:r>
      <w:r w:rsidRPr="00185AA8">
        <w:t>Directive 2000/78/EC</w:t>
      </w:r>
      <w:r>
        <w:t xml:space="preserve">. The Recommendation called for consultation on a more effective </w:t>
      </w:r>
      <w:r w:rsidR="008858F3">
        <w:t xml:space="preserve">employment </w:t>
      </w:r>
      <w:r>
        <w:t>policy approach and reform of the Work Capability Assessment, ‘in line with the human rights model of disability’.</w:t>
      </w:r>
      <w:r>
        <w:rPr>
          <w:rStyle w:val="FootnoteReference"/>
        </w:rPr>
        <w:footnoteReference w:id="52"/>
      </w:r>
    </w:p>
    <w:p w14:paraId="631BC218" w14:textId="77777777" w:rsidR="00185AA8" w:rsidRDefault="00185AA8" w:rsidP="0016304F">
      <w:pPr>
        <w:spacing w:after="0"/>
      </w:pPr>
    </w:p>
    <w:p w14:paraId="67608741" w14:textId="754020CB" w:rsidR="00F738ED" w:rsidRDefault="00F06B52" w:rsidP="0016304F">
      <w:pPr>
        <w:spacing w:after="0"/>
      </w:pPr>
      <w:r w:rsidRPr="0077606A">
        <w:t xml:space="preserve">The </w:t>
      </w:r>
      <w:r w:rsidR="00140EE5" w:rsidRPr="0077606A">
        <w:t>UK</w:t>
      </w:r>
      <w:r w:rsidR="00143D33">
        <w:t xml:space="preserve"> government’s policy </w:t>
      </w:r>
      <w:r w:rsidR="00F738ED" w:rsidRPr="0077606A">
        <w:t>approach</w:t>
      </w:r>
      <w:r w:rsidR="00EB4744">
        <w:t xml:space="preserve"> to halving the disability employment gap</w:t>
      </w:r>
      <w:r w:rsidR="00F738ED" w:rsidRPr="0077606A">
        <w:t xml:space="preserve"> is characterised by </w:t>
      </w:r>
      <w:r w:rsidR="00143D33">
        <w:t xml:space="preserve">relatively </w:t>
      </w:r>
      <w:r w:rsidR="00F738ED" w:rsidRPr="0077606A">
        <w:t xml:space="preserve">hard measures towards job seekers and </w:t>
      </w:r>
      <w:r w:rsidR="00143D33">
        <w:t>relatively s</w:t>
      </w:r>
      <w:r w:rsidR="00143D33" w:rsidRPr="0077606A">
        <w:t xml:space="preserve">oft </w:t>
      </w:r>
      <w:r w:rsidR="00F738ED" w:rsidRPr="0077606A">
        <w:t xml:space="preserve">measures towards employers. Activation is </w:t>
      </w:r>
      <w:r w:rsidR="00143D33">
        <w:t>incentivised</w:t>
      </w:r>
      <w:r w:rsidR="00143D33" w:rsidRPr="0077606A">
        <w:t xml:space="preserve"> </w:t>
      </w:r>
      <w:r w:rsidR="00143D33">
        <w:t>by</w:t>
      </w:r>
      <w:r w:rsidR="00143D33" w:rsidRPr="0077606A">
        <w:t xml:space="preserve"> </w:t>
      </w:r>
      <w:r w:rsidR="00EB4744">
        <w:t>tighter</w:t>
      </w:r>
      <w:r w:rsidR="00EB4744" w:rsidRPr="0077606A">
        <w:t xml:space="preserve"> </w:t>
      </w:r>
      <w:r w:rsidR="00C37D96" w:rsidRPr="0077606A">
        <w:t>condition</w:t>
      </w:r>
      <w:r w:rsidRPr="0077606A">
        <w:t>ality</w:t>
      </w:r>
      <w:r w:rsidR="00C37D96" w:rsidRPr="0077606A">
        <w:t xml:space="preserve"> of work</w:t>
      </w:r>
      <w:r w:rsidRPr="0077606A">
        <w:t xml:space="preserve"> or skills</w:t>
      </w:r>
      <w:r w:rsidR="00F738ED" w:rsidRPr="0077606A">
        <w:t>-related</w:t>
      </w:r>
      <w:r w:rsidRPr="0077606A">
        <w:t xml:space="preserve"> </w:t>
      </w:r>
      <w:r w:rsidR="00C37D96" w:rsidRPr="0077606A">
        <w:t>activit</w:t>
      </w:r>
      <w:r w:rsidR="00F738ED" w:rsidRPr="0077606A">
        <w:t>ies</w:t>
      </w:r>
      <w:r w:rsidR="00143D33">
        <w:t xml:space="preserve"> for benefit claimants</w:t>
      </w:r>
      <w:r w:rsidR="00F738ED" w:rsidRPr="0077606A">
        <w:t xml:space="preserve">, </w:t>
      </w:r>
      <w:r w:rsidR="00EB4744">
        <w:t>including</w:t>
      </w:r>
      <w:r w:rsidR="00EB4744" w:rsidRPr="0077606A">
        <w:t xml:space="preserve"> </w:t>
      </w:r>
      <w:r w:rsidR="00045FA5" w:rsidRPr="0077606A">
        <w:t xml:space="preserve">benefit </w:t>
      </w:r>
      <w:r w:rsidR="00F738ED" w:rsidRPr="0077606A">
        <w:t>sanctions, while</w:t>
      </w:r>
      <w:r w:rsidR="00CC0498" w:rsidRPr="0077606A">
        <w:t xml:space="preserve"> </w:t>
      </w:r>
      <w:r w:rsidR="00F738ED" w:rsidRPr="0077606A">
        <w:t xml:space="preserve">disability exemptions </w:t>
      </w:r>
      <w:r w:rsidR="00143D33">
        <w:t>have been</w:t>
      </w:r>
      <w:r w:rsidR="00143D33" w:rsidRPr="0077606A">
        <w:t xml:space="preserve"> </w:t>
      </w:r>
      <w:r w:rsidR="00F738ED" w:rsidRPr="0077606A">
        <w:t>reduced</w:t>
      </w:r>
      <w:r w:rsidR="00C37D96" w:rsidRPr="0077606A">
        <w:t xml:space="preserve">. </w:t>
      </w:r>
      <w:r w:rsidR="005E1159" w:rsidRPr="0077606A">
        <w:t xml:space="preserve">Employers are </w:t>
      </w:r>
      <w:r w:rsidR="00F738ED" w:rsidRPr="0077606A">
        <w:t xml:space="preserve">encouraged </w:t>
      </w:r>
      <w:r w:rsidR="005E1159" w:rsidRPr="0077606A">
        <w:t xml:space="preserve">and guided </w:t>
      </w:r>
      <w:r w:rsidR="00F738ED" w:rsidRPr="0077606A">
        <w:t>to develop more positive attitudes</w:t>
      </w:r>
      <w:r w:rsidR="00143D33">
        <w:t xml:space="preserve"> under </w:t>
      </w:r>
      <w:r w:rsidR="00EB4744">
        <w:t>a</w:t>
      </w:r>
      <w:r w:rsidR="00143D33">
        <w:t xml:space="preserve"> general duty of non-discrimination</w:t>
      </w:r>
      <w:r w:rsidR="00F738ED" w:rsidRPr="0077606A">
        <w:t>.</w:t>
      </w:r>
    </w:p>
    <w:p w14:paraId="5855160B" w14:textId="77777777" w:rsidR="00C96042" w:rsidRDefault="00C96042" w:rsidP="0016304F">
      <w:pPr>
        <w:spacing w:after="0"/>
      </w:pPr>
    </w:p>
    <w:p w14:paraId="356DDCD9" w14:textId="3AA9D632" w:rsidR="00C96042" w:rsidRDefault="00C96042" w:rsidP="0016304F">
      <w:pPr>
        <w:spacing w:after="0"/>
      </w:pPr>
      <w:r w:rsidRPr="00C96042">
        <w:t>A Parliamentary (Work and Pensions Committee)</w:t>
      </w:r>
      <w:r>
        <w:t xml:space="preserve"> </w:t>
      </w:r>
      <w:r w:rsidRPr="00C96042">
        <w:t xml:space="preserve">enquiry was </w:t>
      </w:r>
      <w:r>
        <w:t>conducted</w:t>
      </w:r>
      <w:r w:rsidRPr="00C96042">
        <w:t xml:space="preserve"> in 2016 to examine the government’s disability employment target and the impact of </w:t>
      </w:r>
      <w:r w:rsidR="00EB4744">
        <w:t xml:space="preserve">associated </w:t>
      </w:r>
      <w:r w:rsidRPr="00C96042">
        <w:t>welfare reforms.</w:t>
      </w:r>
      <w:r w:rsidRPr="00C96042">
        <w:rPr>
          <w:vertAlign w:val="superscript"/>
        </w:rPr>
        <w:footnoteReference w:id="53"/>
      </w:r>
      <w:r w:rsidRPr="00C96042">
        <w:t xml:space="preserve"> The same Committee reported in October 2015 on the lack of success in disability employment support. </w:t>
      </w:r>
      <w:r w:rsidR="00EB4744">
        <w:t>The much-anticipated</w:t>
      </w:r>
      <w:r w:rsidRPr="00C96042">
        <w:t xml:space="preserve"> White Paper on disabil</w:t>
      </w:r>
      <w:r w:rsidR="00EB4744">
        <w:t>ity, employment and health was published in October 2016. This forms the basis for the disability employment policy reforms outlined in the 2017 NRP.</w:t>
      </w:r>
    </w:p>
    <w:p w14:paraId="7D31C42B" w14:textId="77777777" w:rsidR="0022619B" w:rsidRDefault="0022619B" w:rsidP="0016304F">
      <w:pPr>
        <w:spacing w:after="0"/>
      </w:pPr>
    </w:p>
    <w:p w14:paraId="08E9509B" w14:textId="11307004" w:rsidR="008E2880" w:rsidRPr="009718E4" w:rsidRDefault="008E2880" w:rsidP="0016304F">
      <w:pPr>
        <w:spacing w:after="0"/>
        <w:rPr>
          <w:b/>
          <w:bCs/>
          <w:i/>
          <w:iCs/>
        </w:rPr>
      </w:pPr>
      <w:r w:rsidRPr="009718E4">
        <w:rPr>
          <w:b/>
          <w:bCs/>
          <w:i/>
          <w:iCs/>
        </w:rPr>
        <w:t>Work and Health Programme</w:t>
      </w:r>
    </w:p>
    <w:p w14:paraId="3346D8B4" w14:textId="28131AA2" w:rsidR="006F365D" w:rsidRPr="006F365D" w:rsidRDefault="005146F3" w:rsidP="0016304F">
      <w:pPr>
        <w:spacing w:after="0"/>
      </w:pPr>
      <w:r>
        <w:t>As reported in the 2017 NRP, t</w:t>
      </w:r>
      <w:r w:rsidR="00332C2C" w:rsidRPr="0077606A">
        <w:t xml:space="preserve">he </w:t>
      </w:r>
      <w:r>
        <w:t xml:space="preserve">main </w:t>
      </w:r>
      <w:r w:rsidR="00964E17">
        <w:t>employment</w:t>
      </w:r>
      <w:r>
        <w:t xml:space="preserve"> </w:t>
      </w:r>
      <w:r w:rsidRPr="0077606A">
        <w:t xml:space="preserve">activation </w:t>
      </w:r>
      <w:r>
        <w:t>programme</w:t>
      </w:r>
      <w:r w:rsidR="00B4698A">
        <w:t xml:space="preserve"> </w:t>
      </w:r>
      <w:r w:rsidR="00EB4744">
        <w:t xml:space="preserve">in the UK </w:t>
      </w:r>
      <w:r w:rsidR="00B4698A">
        <w:t>since 2011</w:t>
      </w:r>
      <w:r>
        <w:t xml:space="preserve"> (the </w:t>
      </w:r>
      <w:r w:rsidR="00332C2C" w:rsidRPr="0077606A">
        <w:t>Work Programme</w:t>
      </w:r>
      <w:r>
        <w:t xml:space="preserve">) </w:t>
      </w:r>
      <w:r w:rsidR="00143D33">
        <w:t xml:space="preserve">was </w:t>
      </w:r>
      <w:r w:rsidR="00424768">
        <w:t>close</w:t>
      </w:r>
      <w:r>
        <w:t>d</w:t>
      </w:r>
      <w:r w:rsidR="00424768">
        <w:t xml:space="preserve"> to new entrants in 2017.</w:t>
      </w:r>
      <w:r w:rsidR="00332C2C" w:rsidRPr="0077606A">
        <w:t xml:space="preserve"> </w:t>
      </w:r>
      <w:r w:rsidR="0009140E">
        <w:t xml:space="preserve">We reported on </w:t>
      </w:r>
      <w:r>
        <w:t xml:space="preserve">the programme </w:t>
      </w:r>
      <w:r w:rsidR="0009140E" w:rsidRPr="0077606A">
        <w:t xml:space="preserve">statistics </w:t>
      </w:r>
      <w:r w:rsidR="0009140E">
        <w:t xml:space="preserve">in </w:t>
      </w:r>
      <w:r w:rsidR="0009140E" w:rsidRPr="0077606A">
        <w:t>201</w:t>
      </w:r>
      <w:r w:rsidR="0009140E">
        <w:t>5</w:t>
      </w:r>
      <w:r>
        <w:t xml:space="preserve"> and 2016</w:t>
      </w:r>
      <w:r w:rsidR="00143D33">
        <w:t xml:space="preserve"> (a</w:t>
      </w:r>
      <w:r w:rsidR="00AE4F44">
        <w:t xml:space="preserve">round </w:t>
      </w:r>
      <w:r w:rsidR="00EB4744">
        <w:t>one in three</w:t>
      </w:r>
      <w:r w:rsidR="00AE4F44">
        <w:t xml:space="preserve"> of those </w:t>
      </w:r>
      <w:r w:rsidR="00143D33">
        <w:t>entering</w:t>
      </w:r>
      <w:r w:rsidR="00AE4F44">
        <w:t xml:space="preserve"> </w:t>
      </w:r>
      <w:r w:rsidR="00EB4744">
        <w:t>this mainstream</w:t>
      </w:r>
      <w:r w:rsidR="00AE4F44">
        <w:t xml:space="preserve"> programme identified themselves as disabled</w:t>
      </w:r>
      <w:r w:rsidR="00143D33">
        <w:t>)</w:t>
      </w:r>
      <w:r w:rsidR="0009140E" w:rsidRPr="0077606A">
        <w:t>.</w:t>
      </w:r>
      <w:r w:rsidR="0009140E" w:rsidRPr="0077606A">
        <w:rPr>
          <w:rStyle w:val="FootnoteReference"/>
        </w:rPr>
        <w:footnoteReference w:id="54"/>
      </w:r>
      <w:r w:rsidR="00AE4F44">
        <w:t xml:space="preserve"> </w:t>
      </w:r>
      <w:r w:rsidR="00B4698A">
        <w:t xml:space="preserve">Phased implementation of the new Work and Health Programme began in November 2017 </w:t>
      </w:r>
      <w:r w:rsidR="00B4698A">
        <w:lastRenderedPageBreak/>
        <w:t>(contracted out to different service providers in different regions)</w:t>
      </w:r>
      <w:r w:rsidR="00EB4744">
        <w:t xml:space="preserve"> targeting </w:t>
      </w:r>
      <w:r w:rsidR="00B4698A">
        <w:t xml:space="preserve">specialist support to disabled people and </w:t>
      </w:r>
      <w:r w:rsidR="00EB4744">
        <w:t xml:space="preserve">to </w:t>
      </w:r>
      <w:r w:rsidR="00B4698A">
        <w:t>long-term unemployed people.</w:t>
      </w:r>
      <w:r w:rsidR="00BA29B8">
        <w:rPr>
          <w:rStyle w:val="FootnoteReference"/>
        </w:rPr>
        <w:footnoteReference w:id="55"/>
      </w:r>
      <w:r w:rsidR="00B4698A">
        <w:t xml:space="preserve"> </w:t>
      </w:r>
      <w:r w:rsidR="006F365D" w:rsidRPr="006F365D">
        <w:t>The new service will be more segmented, with tailored support for different target groups</w:t>
      </w:r>
      <w:r w:rsidR="006F365D">
        <w:t xml:space="preserve"> and </w:t>
      </w:r>
      <w:r w:rsidR="006F365D" w:rsidRPr="006F365D">
        <w:t>a more intensive wo</w:t>
      </w:r>
      <w:r w:rsidR="006F365D">
        <w:t xml:space="preserve">rk search regime for jobseekers. </w:t>
      </w:r>
      <w:r w:rsidR="006F365D" w:rsidRPr="006F365D">
        <w:t xml:space="preserve">A key objective </w:t>
      </w:r>
      <w:r w:rsidR="00837ED6">
        <w:t>is</w:t>
      </w:r>
      <w:r w:rsidR="006F365D" w:rsidRPr="006F365D">
        <w:t xml:space="preserve"> to simplify administration and incentivise both claimants and the independent providers who </w:t>
      </w:r>
      <w:r w:rsidR="00837ED6">
        <w:t>work</w:t>
      </w:r>
      <w:r w:rsidR="006F365D" w:rsidRPr="006F365D">
        <w:t xml:space="preserve"> with them.</w:t>
      </w:r>
      <w:r w:rsidR="006F365D" w:rsidRPr="006F365D">
        <w:rPr>
          <w:vertAlign w:val="superscript"/>
        </w:rPr>
        <w:footnoteReference w:id="56"/>
      </w:r>
      <w:r w:rsidR="006F365D" w:rsidRPr="006F365D">
        <w:t xml:space="preserve"> </w:t>
      </w:r>
    </w:p>
    <w:p w14:paraId="0E1A3086" w14:textId="77777777" w:rsidR="006F365D" w:rsidRDefault="006F365D" w:rsidP="0016304F">
      <w:pPr>
        <w:spacing w:after="0"/>
      </w:pPr>
    </w:p>
    <w:p w14:paraId="5D740F51" w14:textId="6E136D25" w:rsidR="0009140E" w:rsidRPr="0009140E" w:rsidRDefault="00293CD4" w:rsidP="0016304F">
      <w:pPr>
        <w:spacing w:after="0"/>
      </w:pPr>
      <w:r>
        <w:t>The main focus</w:t>
      </w:r>
      <w:r w:rsidR="00EB4744">
        <w:t xml:space="preserve"> is</w:t>
      </w:r>
      <w:r>
        <w:t xml:space="preserve"> on those </w:t>
      </w:r>
      <w:r w:rsidR="00EB4744">
        <w:t>likely to achieve</w:t>
      </w:r>
      <w:r>
        <w:t xml:space="preserve"> a job outcome within 12 months.</w:t>
      </w:r>
      <w:r w:rsidR="00964E17">
        <w:t xml:space="preserve"> </w:t>
      </w:r>
      <w:r w:rsidR="00837ED6">
        <w:t>For disabled job seekers this</w:t>
      </w:r>
      <w:r w:rsidR="00964E17">
        <w:t xml:space="preserve"> function replaces the </w:t>
      </w:r>
      <w:r w:rsidR="0009140E" w:rsidRPr="0009140E">
        <w:t>Work Choice programme</w:t>
      </w:r>
      <w:r w:rsidR="00964E17">
        <w:t xml:space="preserve">, from which lessons </w:t>
      </w:r>
      <w:r w:rsidR="00EB4744">
        <w:t>can</w:t>
      </w:r>
      <w:r w:rsidR="00964E17">
        <w:t xml:space="preserve"> be learned</w:t>
      </w:r>
      <w:r w:rsidR="0009140E" w:rsidRPr="0009140E">
        <w:t>.</w:t>
      </w:r>
      <w:r w:rsidR="00143D33" w:rsidRPr="0009140E">
        <w:rPr>
          <w:vertAlign w:val="superscript"/>
        </w:rPr>
        <w:footnoteReference w:id="57"/>
      </w:r>
      <w:r w:rsidR="0009140E" w:rsidRPr="0009140E">
        <w:t xml:space="preserve"> </w:t>
      </w:r>
      <w:r w:rsidR="00964E17">
        <w:t>Work Choice p</w:t>
      </w:r>
      <w:r w:rsidR="00143D33">
        <w:t xml:space="preserve">roviders </w:t>
      </w:r>
      <w:r w:rsidR="00EB4744">
        <w:t>were</w:t>
      </w:r>
      <w:r w:rsidR="00143D33">
        <w:t xml:space="preserve"> paid by results to place job seekers</w:t>
      </w:r>
      <w:r w:rsidR="00EB4744">
        <w:t>. H</w:t>
      </w:r>
      <w:r w:rsidR="0009140E">
        <w:t>igher</w:t>
      </w:r>
      <w:r w:rsidR="0009140E" w:rsidRPr="0009140E">
        <w:t xml:space="preserve"> rates </w:t>
      </w:r>
      <w:r w:rsidR="00EB4744">
        <w:t xml:space="preserve">were paid </w:t>
      </w:r>
      <w:r w:rsidR="0009140E">
        <w:t xml:space="preserve">for </w:t>
      </w:r>
      <w:r w:rsidR="00143D33">
        <w:t>those</w:t>
      </w:r>
      <w:r w:rsidR="00143D33" w:rsidRPr="0009140E">
        <w:t xml:space="preserve"> </w:t>
      </w:r>
      <w:r w:rsidR="0009140E" w:rsidRPr="0009140E">
        <w:t>considered more ‘difficult’ to place</w:t>
      </w:r>
      <w:r w:rsidR="00143D33">
        <w:t>, in order to</w:t>
      </w:r>
      <w:r w:rsidR="0009140E" w:rsidRPr="0009140E">
        <w:t xml:space="preserve"> counter the ‘creaming’ and ‘parking’ that </w:t>
      </w:r>
      <w:r w:rsidR="00143D33">
        <w:t>often</w:t>
      </w:r>
      <w:r w:rsidR="00143D33" w:rsidRPr="0009140E">
        <w:t xml:space="preserve"> </w:t>
      </w:r>
      <w:r w:rsidR="0009140E" w:rsidRPr="0009140E">
        <w:t xml:space="preserve">result from such initiatives. Work Choice </w:t>
      </w:r>
      <w:r w:rsidR="0009140E">
        <w:t xml:space="preserve">was </w:t>
      </w:r>
      <w:r w:rsidR="00143D33">
        <w:t xml:space="preserve">initially </w:t>
      </w:r>
      <w:r w:rsidR="0009140E">
        <w:t>criticised for n</w:t>
      </w:r>
      <w:r w:rsidR="0009140E" w:rsidRPr="0009140E">
        <w:t>ot deliver</w:t>
      </w:r>
      <w:r w:rsidR="0009140E">
        <w:t>ing</w:t>
      </w:r>
      <w:r w:rsidR="0009140E" w:rsidRPr="0009140E">
        <w:t xml:space="preserve"> on its promises</w:t>
      </w:r>
      <w:r w:rsidR="00143D33">
        <w:t xml:space="preserve"> but </w:t>
      </w:r>
      <w:r w:rsidR="00EB4744">
        <w:t>outcomes</w:t>
      </w:r>
      <w:r w:rsidR="00EB4744" w:rsidRPr="0009140E">
        <w:t xml:space="preserve"> </w:t>
      </w:r>
      <w:r w:rsidR="00EB4744">
        <w:t xml:space="preserve">began to </w:t>
      </w:r>
      <w:r w:rsidR="0009140E" w:rsidRPr="0009140E">
        <w:t>improve</w:t>
      </w:r>
      <w:r w:rsidR="00143D33">
        <w:t>.</w:t>
      </w:r>
      <w:r w:rsidR="0009140E" w:rsidRPr="0009140E">
        <w:rPr>
          <w:vertAlign w:val="superscript"/>
        </w:rPr>
        <w:footnoteReference w:id="58"/>
      </w:r>
      <w:r w:rsidR="0009140E" w:rsidRPr="0009140E">
        <w:t xml:space="preserve"> </w:t>
      </w:r>
      <w:r w:rsidR="00143D33">
        <w:t>For</w:t>
      </w:r>
      <w:r w:rsidR="0009140E" w:rsidRPr="0009140E">
        <w:t xml:space="preserve"> the financial year ending March 201</w:t>
      </w:r>
      <w:r w:rsidR="00143D33">
        <w:t>7</w:t>
      </w:r>
      <w:r w:rsidR="0009140E" w:rsidRPr="0009140E">
        <w:t xml:space="preserve"> almost 1</w:t>
      </w:r>
      <w:r w:rsidR="00FB7B71">
        <w:t>6</w:t>
      </w:r>
      <w:r w:rsidR="0009140E" w:rsidRPr="0009140E">
        <w:t>,000 people were referred</w:t>
      </w:r>
      <w:r w:rsidR="00EB4744">
        <w:t xml:space="preserve"> to the programme</w:t>
      </w:r>
      <w:r w:rsidR="00FB7B71">
        <w:t>, of whom</w:t>
      </w:r>
      <w:r w:rsidR="0009140E" w:rsidRPr="0009140E">
        <w:t xml:space="preserve"> 11,</w:t>
      </w:r>
      <w:r w:rsidR="00FB7B71">
        <w:t>630</w:t>
      </w:r>
      <w:r w:rsidR="00FB7B71" w:rsidRPr="0009140E">
        <w:t xml:space="preserve"> </w:t>
      </w:r>
      <w:r w:rsidR="0009140E" w:rsidRPr="0009140E">
        <w:t>started</w:t>
      </w:r>
      <w:r w:rsidR="00FB7B71">
        <w:t>. Revis</w:t>
      </w:r>
      <w:r w:rsidR="00EB4744">
        <w:t>ed</w:t>
      </w:r>
      <w:r w:rsidR="00FB7B71">
        <w:t xml:space="preserve"> contract definition</w:t>
      </w:r>
      <w:r w:rsidR="00156CA2">
        <w:t>s</w:t>
      </w:r>
      <w:r w:rsidR="00FB7B71">
        <w:t xml:space="preserve"> since 2015 make</w:t>
      </w:r>
      <w:r w:rsidR="009B67C5">
        <w:t>s</w:t>
      </w:r>
      <w:r w:rsidR="00FB7B71">
        <w:t xml:space="preserve"> outcome </w:t>
      </w:r>
      <w:r w:rsidR="00156CA2">
        <w:t xml:space="preserve">comparisons </w:t>
      </w:r>
      <w:r w:rsidR="00FB7B71">
        <w:t>difficult but around 47% of programme starts</w:t>
      </w:r>
      <w:r w:rsidR="00EB4744">
        <w:t xml:space="preserve"> </w:t>
      </w:r>
      <w:r w:rsidR="00FB7B71">
        <w:t xml:space="preserve">appear to </w:t>
      </w:r>
      <w:r w:rsidR="00964E17">
        <w:t xml:space="preserve">have </w:t>
      </w:r>
      <w:r w:rsidR="00FB7B71">
        <w:t>result</w:t>
      </w:r>
      <w:r w:rsidR="00964E17">
        <w:t xml:space="preserve">ed </w:t>
      </w:r>
      <w:r w:rsidR="00FB7B71">
        <w:t xml:space="preserve">in a job outcome within 12 months </w:t>
      </w:r>
      <w:r w:rsidR="0009140E" w:rsidRPr="0009140E">
        <w:t>(</w:t>
      </w:r>
      <w:r w:rsidR="00FB7B71">
        <w:t>most of which</w:t>
      </w:r>
      <w:r w:rsidR="0009140E" w:rsidRPr="0009140E">
        <w:t xml:space="preserve"> were supported).</w:t>
      </w:r>
      <w:r w:rsidR="00FB7B71">
        <w:t xml:space="preserve"> This is a reduction </w:t>
      </w:r>
      <w:r w:rsidR="009B67C5">
        <w:t xml:space="preserve">on earlier years </w:t>
      </w:r>
      <w:r w:rsidR="00FB7B71">
        <w:t xml:space="preserve">but </w:t>
      </w:r>
      <w:r w:rsidR="00EB4744">
        <w:t xml:space="preserve">seems to be a </w:t>
      </w:r>
      <w:r w:rsidR="00FB7B71">
        <w:t xml:space="preserve">result of </w:t>
      </w:r>
      <w:r w:rsidR="00964E17">
        <w:t xml:space="preserve">the </w:t>
      </w:r>
      <w:r w:rsidR="00FB7B71">
        <w:t>definitional changes. Sustained job outcomes have risen continually</w:t>
      </w:r>
      <w:r w:rsidR="00964E17">
        <w:t xml:space="preserve"> but </w:t>
      </w:r>
      <w:r w:rsidR="009B67C5">
        <w:t>p</w:t>
      </w:r>
      <w:r w:rsidR="005E13E0">
        <w:t xml:space="preserve">ositive </w:t>
      </w:r>
      <w:r w:rsidR="00B77F7D">
        <w:t>short-term</w:t>
      </w:r>
      <w:r w:rsidR="005E13E0">
        <w:t xml:space="preserve"> job outcomes for people with mild to moderate mental health conditions or learning difficulties have not been matched by sustained job outcomes for these groups (people with visual or hearing impairments</w:t>
      </w:r>
      <w:r w:rsidR="008F5648">
        <w:t>, a smaller group,</w:t>
      </w:r>
      <w:r w:rsidR="005E13E0">
        <w:t xml:space="preserve"> have achieved stronger sustained job outcomes</w:t>
      </w:r>
      <w:r w:rsidR="005C115F">
        <w:t xml:space="preserve"> on average</w:t>
      </w:r>
      <w:r w:rsidR="005E13E0">
        <w:t>)</w:t>
      </w:r>
      <w:r w:rsidR="00CD3C1C">
        <w:t>.</w:t>
      </w:r>
      <w:r w:rsidR="0009140E" w:rsidRPr="0009140E">
        <w:rPr>
          <w:vertAlign w:val="superscript"/>
        </w:rPr>
        <w:footnoteReference w:id="59"/>
      </w:r>
    </w:p>
    <w:p w14:paraId="487C902F" w14:textId="77777777" w:rsidR="0009140E" w:rsidRDefault="0009140E" w:rsidP="0016304F">
      <w:pPr>
        <w:spacing w:after="0"/>
      </w:pPr>
    </w:p>
    <w:p w14:paraId="2D5A0362" w14:textId="35E33BE3" w:rsidR="002464D9" w:rsidRPr="002464D9" w:rsidRDefault="006F365D" w:rsidP="0016304F">
      <w:pPr>
        <w:spacing w:after="0"/>
      </w:pPr>
      <w:r>
        <w:t xml:space="preserve">Policy learning </w:t>
      </w:r>
      <w:r w:rsidR="00325134">
        <w:t xml:space="preserve">for the new programme </w:t>
      </w:r>
      <w:r>
        <w:t xml:space="preserve">also took place through evaluation of </w:t>
      </w:r>
      <w:r w:rsidR="002464D9" w:rsidRPr="0077606A">
        <w:t>Intensive Activity Programme (IAP)</w:t>
      </w:r>
      <w:r w:rsidR="002464D9">
        <w:t xml:space="preserve"> pilots </w:t>
      </w:r>
      <w:r w:rsidR="002464D9" w:rsidRPr="0077606A">
        <w:t xml:space="preserve">for out-of-work benefit claimants </w:t>
      </w:r>
      <w:r>
        <w:t xml:space="preserve">carried out </w:t>
      </w:r>
      <w:r w:rsidR="002464D9" w:rsidRPr="0077606A">
        <w:t>in 2015</w:t>
      </w:r>
      <w:r w:rsidR="002464D9">
        <w:t>.</w:t>
      </w:r>
      <w:r w:rsidR="002464D9">
        <w:rPr>
          <w:rStyle w:val="FootnoteReference"/>
        </w:rPr>
        <w:footnoteReference w:id="60"/>
      </w:r>
      <w:r w:rsidR="002464D9">
        <w:t xml:space="preserve"> This involved a focused curriculum of job search activity within 21 days of a claim. One of the lessons learned was a need for greater personalisation ‘</w:t>
      </w:r>
      <w:r w:rsidR="002464D9" w:rsidRPr="002464D9">
        <w:t>to better accommodate the needs of claimants with health problems and disabilities, caring responsibilities and anxiety-type disorders</w:t>
      </w:r>
      <w:r w:rsidR="002464D9">
        <w:t xml:space="preserve">’. In addition, a </w:t>
      </w:r>
      <w:r w:rsidR="002464D9" w:rsidRPr="002464D9">
        <w:t>‘Personalisation Pathfinder’ pilot</w:t>
      </w:r>
      <w:r w:rsidR="002464D9">
        <w:t xml:space="preserve">ed </w:t>
      </w:r>
      <w:r w:rsidR="002464D9" w:rsidRPr="002464D9">
        <w:t>a more flexible advisory approa</w:t>
      </w:r>
      <w:r w:rsidR="002464D9">
        <w:t xml:space="preserve">ch for some disabled claimants </w:t>
      </w:r>
      <w:r>
        <w:t xml:space="preserve">using specialist manager and coaching </w:t>
      </w:r>
      <w:r w:rsidR="002464D9" w:rsidRPr="002464D9">
        <w:t>roles.</w:t>
      </w:r>
      <w:r>
        <w:t xml:space="preserve"> </w:t>
      </w:r>
      <w:r w:rsidRPr="006F365D">
        <w:t xml:space="preserve">Work coaches </w:t>
      </w:r>
      <w:r>
        <w:t>will have</w:t>
      </w:r>
      <w:r w:rsidRPr="006F365D">
        <w:t xml:space="preserve"> </w:t>
      </w:r>
      <w:r w:rsidR="00837ED6">
        <w:t xml:space="preserve">an </w:t>
      </w:r>
      <w:r w:rsidRPr="006F365D">
        <w:t xml:space="preserve">intensive role </w:t>
      </w:r>
      <w:r w:rsidR="00837ED6">
        <w:t xml:space="preserve">in the new scheme, </w:t>
      </w:r>
      <w:r w:rsidRPr="006F365D">
        <w:t>‘getting to know’ claimants and their employment support needs, and linking with local service providers</w:t>
      </w:r>
      <w:r>
        <w:t xml:space="preserve">, backed by </w:t>
      </w:r>
      <w:r w:rsidRPr="006F365D">
        <w:t>a</w:t>
      </w:r>
      <w:r w:rsidR="00837ED6">
        <w:t xml:space="preserve"> management</w:t>
      </w:r>
      <w:r w:rsidRPr="006F365D">
        <w:t xml:space="preserve"> ‘decision tree tool’.</w:t>
      </w:r>
    </w:p>
    <w:p w14:paraId="71409546" w14:textId="77777777" w:rsidR="0009140E" w:rsidRDefault="0009140E" w:rsidP="0016304F">
      <w:pPr>
        <w:spacing w:after="0"/>
      </w:pPr>
    </w:p>
    <w:p w14:paraId="7A055402" w14:textId="04C11565" w:rsidR="00D04A95" w:rsidRDefault="0009140E" w:rsidP="0016304F">
      <w:pPr>
        <w:spacing w:after="0"/>
      </w:pPr>
      <w:r>
        <w:t xml:space="preserve">The Youth Offer </w:t>
      </w:r>
      <w:r w:rsidR="00297B69">
        <w:t xml:space="preserve">also </w:t>
      </w:r>
      <w:r>
        <w:t>include</w:t>
      </w:r>
      <w:r w:rsidR="00297B69">
        <w:t>d</w:t>
      </w:r>
      <w:r>
        <w:t xml:space="preserve"> a</w:t>
      </w:r>
      <w:r w:rsidRPr="0077606A">
        <w:t xml:space="preserve"> Pre-Work Programme run by JobCentre Plus</w:t>
      </w:r>
      <w:r>
        <w:t xml:space="preserve"> for which official data identify </w:t>
      </w:r>
      <w:r w:rsidR="002464D9">
        <w:t xml:space="preserve">that ‘98,300 (25%) of those starting on work experience and 42,700 (22%) of those starting on sector-based work academy identified </w:t>
      </w:r>
      <w:r w:rsidR="002464D9">
        <w:lastRenderedPageBreak/>
        <w:t xml:space="preserve">themselves as </w:t>
      </w:r>
      <w:r w:rsidR="00297B69">
        <w:t>‘</w:t>
      </w:r>
      <w:r w:rsidR="002464D9">
        <w:t xml:space="preserve">having a disability’ (in total from </w:t>
      </w:r>
      <w:r w:rsidR="002464D9" w:rsidRPr="002464D9">
        <w:t>January 2011-May 201</w:t>
      </w:r>
      <w:r w:rsidR="00297B69">
        <w:t>6</w:t>
      </w:r>
      <w:r w:rsidR="002464D9">
        <w:t>)</w:t>
      </w:r>
      <w:r w:rsidR="00D04A95" w:rsidRPr="0077606A">
        <w:t>.</w:t>
      </w:r>
      <w:r w:rsidR="00D04A95" w:rsidRPr="0077606A">
        <w:rPr>
          <w:rStyle w:val="FootnoteReference"/>
        </w:rPr>
        <w:footnoteReference w:id="61"/>
      </w:r>
      <w:r w:rsidR="00297B69">
        <w:t xml:space="preserve"> The Youth Contract, introduced in response to the crisis, was closed in 2015. A ‘Youth Obligation’ was launched in April 2017 for 18-21 year olds claiming out of work benefits, which requires attendance at a sector-based work academy, traineeship or work placement. </w:t>
      </w:r>
      <w:r w:rsidR="00587D25">
        <w:t>Existing</w:t>
      </w:r>
      <w:r w:rsidR="00297B69">
        <w:t xml:space="preserve"> data on these routes</w:t>
      </w:r>
      <w:r w:rsidR="00587D25">
        <w:t xml:space="preserve"> suggests that 29% of entrants to work experience declare a disability status.</w:t>
      </w:r>
      <w:r w:rsidR="00587D25">
        <w:rPr>
          <w:rStyle w:val="FootnoteReference"/>
        </w:rPr>
        <w:footnoteReference w:id="62"/>
      </w:r>
    </w:p>
    <w:p w14:paraId="3974D8A6" w14:textId="77777777" w:rsidR="00957E41" w:rsidRDefault="00957E41" w:rsidP="0016304F">
      <w:pPr>
        <w:spacing w:after="0"/>
      </w:pPr>
    </w:p>
    <w:p w14:paraId="5182AA6B" w14:textId="7342607C" w:rsidR="008E2880" w:rsidRPr="009718E4" w:rsidRDefault="008E2880" w:rsidP="0016304F">
      <w:pPr>
        <w:spacing w:after="0"/>
        <w:rPr>
          <w:b/>
          <w:bCs/>
          <w:i/>
          <w:iCs/>
        </w:rPr>
      </w:pPr>
      <w:r w:rsidRPr="009718E4">
        <w:rPr>
          <w:b/>
          <w:bCs/>
          <w:i/>
          <w:iCs/>
        </w:rPr>
        <w:t>Access to Work scheme</w:t>
      </w:r>
    </w:p>
    <w:p w14:paraId="14161CD1" w14:textId="164AD456" w:rsidR="0091514B" w:rsidRDefault="00587D25" w:rsidP="0016304F">
      <w:pPr>
        <w:spacing w:after="0"/>
      </w:pPr>
      <w:r>
        <w:t xml:space="preserve">The 2017 NRP refers also to the Access to Work Programme (4.31) which helps to </w:t>
      </w:r>
      <w:r w:rsidR="004A6770">
        <w:t xml:space="preserve">fund additional employment costs and </w:t>
      </w:r>
      <w:r>
        <w:t xml:space="preserve">workplace </w:t>
      </w:r>
      <w:r w:rsidR="004A6770">
        <w:t xml:space="preserve">adaptations. </w:t>
      </w:r>
      <w:r>
        <w:t>D</w:t>
      </w:r>
      <w:r w:rsidR="004A6770">
        <w:t>ue to methodolog</w:t>
      </w:r>
      <w:r w:rsidR="00EC5F20">
        <w:t>ical issues</w:t>
      </w:r>
      <w:r>
        <w:t xml:space="preserve"> there was a delay in statistical reporting last year</w:t>
      </w:r>
      <w:r w:rsidR="00EC5F20">
        <w:t xml:space="preserve">, </w:t>
      </w:r>
      <w:r w:rsidR="004A6770">
        <w:rPr>
          <w:rStyle w:val="FootnoteReference"/>
        </w:rPr>
        <w:footnoteReference w:id="63"/>
      </w:r>
      <w:r w:rsidR="004A6770">
        <w:t xml:space="preserve"> </w:t>
      </w:r>
      <w:r w:rsidR="00EC5F20">
        <w:t>although the</w:t>
      </w:r>
      <w:r>
        <w:t xml:space="preserve"> </w:t>
      </w:r>
      <w:r w:rsidR="004A6770">
        <w:t>March 2016 indicate</w:t>
      </w:r>
      <w:r>
        <w:t>d</w:t>
      </w:r>
      <w:r w:rsidR="004A6770">
        <w:t xml:space="preserve"> </w:t>
      </w:r>
      <w:r>
        <w:t>a slight decline in the number of people helped</w:t>
      </w:r>
      <w:r w:rsidR="004A6770">
        <w:t>.</w:t>
      </w:r>
      <w:r w:rsidR="004A6770">
        <w:rPr>
          <w:rStyle w:val="FootnoteReference"/>
        </w:rPr>
        <w:footnoteReference w:id="64"/>
      </w:r>
      <w:r w:rsidR="004A6770">
        <w:t xml:space="preserve"> </w:t>
      </w:r>
      <w:r w:rsidR="00EC5F20">
        <w:t>Updated statistics were published in April 2017, which show that 25,025 people received funding</w:t>
      </w:r>
      <w:r w:rsidR="008E2880">
        <w:t>,</w:t>
      </w:r>
      <w:r w:rsidR="00EC5F20">
        <w:t xml:space="preserve"> of whom </w:t>
      </w:r>
      <w:r w:rsidR="008E2880">
        <w:t xml:space="preserve">about 60% are aged over 40 and </w:t>
      </w:r>
      <w:r w:rsidR="00EC5F20">
        <w:t xml:space="preserve">the majority </w:t>
      </w:r>
      <w:r w:rsidR="008E2880">
        <w:t>are</w:t>
      </w:r>
      <w:r w:rsidR="00EC5F20">
        <w:t xml:space="preserve"> women</w:t>
      </w:r>
      <w:r w:rsidR="008E2880">
        <w:t xml:space="preserve">. </w:t>
      </w:r>
      <w:r w:rsidR="00EC5F20">
        <w:t>The largest number of awards are for aids and equipment at work, followed by funding for support workers and help with travel to work.</w:t>
      </w:r>
      <w:r w:rsidR="008E2880">
        <w:rPr>
          <w:rStyle w:val="FootnoteReference"/>
        </w:rPr>
        <w:footnoteReference w:id="65"/>
      </w:r>
    </w:p>
    <w:p w14:paraId="1A7C0DEE" w14:textId="77777777" w:rsidR="008E2880" w:rsidRDefault="008E2880" w:rsidP="0016304F">
      <w:pPr>
        <w:spacing w:after="0"/>
      </w:pPr>
    </w:p>
    <w:p w14:paraId="5B76D677" w14:textId="3908E83E" w:rsidR="00D43A47" w:rsidRDefault="008E2880" w:rsidP="0016304F">
      <w:pPr>
        <w:spacing w:after="0"/>
      </w:pPr>
      <w:r>
        <w:t>The 2017 NRP describes ‘</w:t>
      </w:r>
      <w:r w:rsidRPr="008E2880">
        <w:t>a real terms increase in funding</w:t>
      </w:r>
      <w:r>
        <w:t>’ for the scheme, although the statistical bulletins report awards rather than spending. In reality, e</w:t>
      </w:r>
      <w:r w:rsidR="0091514B">
        <w:t>xpenditure</w:t>
      </w:r>
      <w:r w:rsidR="0091514B" w:rsidRPr="0077606A">
        <w:t xml:space="preserve"> </w:t>
      </w:r>
      <w:r>
        <w:t>fell</w:t>
      </w:r>
      <w:r w:rsidR="005112F5" w:rsidRPr="0077606A">
        <w:t xml:space="preserve"> sharply </w:t>
      </w:r>
      <w:r>
        <w:t>from</w:t>
      </w:r>
      <w:r w:rsidRPr="0077606A">
        <w:t xml:space="preserve"> </w:t>
      </w:r>
      <w:r w:rsidR="005112F5" w:rsidRPr="0077606A">
        <w:t xml:space="preserve">the onset of the crisis but </w:t>
      </w:r>
      <w:r>
        <w:t>has risen</w:t>
      </w:r>
      <w:r w:rsidR="00587D25" w:rsidRPr="0077606A">
        <w:t xml:space="preserve"> </w:t>
      </w:r>
      <w:r w:rsidR="004A6770">
        <w:t xml:space="preserve">again </w:t>
      </w:r>
      <w:r>
        <w:t>since</w:t>
      </w:r>
      <w:r w:rsidR="00587D25" w:rsidRPr="0077606A">
        <w:t xml:space="preserve"> </w:t>
      </w:r>
      <w:r w:rsidR="008D7AB1" w:rsidRPr="0077606A">
        <w:t>2012</w:t>
      </w:r>
      <w:r w:rsidR="005112F5" w:rsidRPr="0077606A">
        <w:t xml:space="preserve">. </w:t>
      </w:r>
      <w:r>
        <w:t xml:space="preserve">The total number of awards appears to have stabilised but is not higher than it was in 2013-14 and remains well below the peak in 2009-10. This is assumed to be the result of change in guidance to advisors to place the emphasis on the duty of employers to make reasonable adjustments under the Equality Act 2010. </w:t>
      </w:r>
      <w:r w:rsidR="00257FFE" w:rsidRPr="0077606A">
        <w:t xml:space="preserve">Around 15% of the budget </w:t>
      </w:r>
      <w:r>
        <w:t>had been</w:t>
      </w:r>
      <w:r w:rsidR="00587D25" w:rsidRPr="0077606A">
        <w:t xml:space="preserve"> </w:t>
      </w:r>
      <w:r w:rsidR="00257FFE" w:rsidRPr="0077606A">
        <w:t xml:space="preserve">accounted for by 1% of </w:t>
      </w:r>
      <w:r>
        <w:t>claimants</w:t>
      </w:r>
      <w:r w:rsidR="00B20A6B" w:rsidRPr="0077606A">
        <w:t xml:space="preserve"> and, f</w:t>
      </w:r>
      <w:r w:rsidR="008D7AB1" w:rsidRPr="0077606A">
        <w:t xml:space="preserve">rom October 2015, new </w:t>
      </w:r>
      <w:r w:rsidR="00257FFE" w:rsidRPr="0077606A">
        <w:t>individual claims</w:t>
      </w:r>
      <w:r w:rsidR="00784B17" w:rsidRPr="0077606A">
        <w:t xml:space="preserve"> </w:t>
      </w:r>
      <w:r w:rsidR="004A6770">
        <w:t>were</w:t>
      </w:r>
      <w:r w:rsidR="00784B17" w:rsidRPr="0077606A">
        <w:t xml:space="preserve"> capped at </w:t>
      </w:r>
      <w:r w:rsidR="00E21495" w:rsidRPr="0077606A">
        <w:t>£40,</w:t>
      </w:r>
      <w:r w:rsidR="00784B17" w:rsidRPr="0077606A">
        <w:t>800 per year</w:t>
      </w:r>
      <w:r w:rsidR="00257FFE" w:rsidRPr="0077606A">
        <w:t xml:space="preserve">. The intention </w:t>
      </w:r>
      <w:r w:rsidR="004A6770">
        <w:t>was</w:t>
      </w:r>
      <w:r w:rsidR="004A6770" w:rsidRPr="0077606A">
        <w:t xml:space="preserve"> </w:t>
      </w:r>
      <w:r w:rsidR="00257FFE" w:rsidRPr="0077606A">
        <w:t xml:space="preserve">to support more people </w:t>
      </w:r>
      <w:r w:rsidR="008D7AB1" w:rsidRPr="0077606A">
        <w:t>overall</w:t>
      </w:r>
      <w:r w:rsidR="00257FFE" w:rsidRPr="0077606A">
        <w:t xml:space="preserve"> </w:t>
      </w:r>
      <w:r w:rsidR="00936ECB" w:rsidRPr="0077606A">
        <w:t>by</w:t>
      </w:r>
      <w:r w:rsidR="001F38C9" w:rsidRPr="0077606A">
        <w:t xml:space="preserve"> saving £3 million per year from those with the highest costs (</w:t>
      </w:r>
      <w:r w:rsidR="004A6770">
        <w:t xml:space="preserve">previous </w:t>
      </w:r>
      <w:r w:rsidR="001F38C9" w:rsidRPr="0077606A">
        <w:t xml:space="preserve">claims above </w:t>
      </w:r>
      <w:r w:rsidR="005112F5" w:rsidRPr="0077606A">
        <w:t>the</w:t>
      </w:r>
      <w:r w:rsidR="001F38C9" w:rsidRPr="0077606A">
        <w:t xml:space="preserve"> cap </w:t>
      </w:r>
      <w:r w:rsidR="00587D25">
        <w:t>are supported until 2018</w:t>
      </w:r>
      <w:r w:rsidR="001F38C9" w:rsidRPr="0077606A">
        <w:t>)</w:t>
      </w:r>
      <w:r w:rsidR="00257FFE" w:rsidRPr="0077606A">
        <w:t xml:space="preserve">. </w:t>
      </w:r>
      <w:r w:rsidR="000F4F4F" w:rsidRPr="0077606A">
        <w:t xml:space="preserve">Public campaigns highlighted how </w:t>
      </w:r>
      <w:r w:rsidR="007812AB" w:rsidRPr="0077606A">
        <w:t xml:space="preserve">specific groups with high support needs </w:t>
      </w:r>
      <w:r w:rsidR="0091514B">
        <w:t>were</w:t>
      </w:r>
      <w:r w:rsidR="0091514B" w:rsidRPr="0077606A">
        <w:t xml:space="preserve"> </w:t>
      </w:r>
      <w:r w:rsidR="007812AB" w:rsidRPr="0077606A">
        <w:t xml:space="preserve">affected, notably </w:t>
      </w:r>
      <w:r w:rsidR="0091514B">
        <w:t xml:space="preserve">deaf </w:t>
      </w:r>
      <w:r w:rsidR="00936ECB" w:rsidRPr="0077606A">
        <w:t>people</w:t>
      </w:r>
      <w:r w:rsidR="007812AB" w:rsidRPr="0077606A">
        <w:t xml:space="preserve"> </w:t>
      </w:r>
      <w:r w:rsidR="005112F5" w:rsidRPr="0077606A">
        <w:t>relying</w:t>
      </w:r>
      <w:r w:rsidR="007812AB" w:rsidRPr="0077606A">
        <w:t xml:space="preserve"> on professional Sign Language interpreters</w:t>
      </w:r>
      <w:r w:rsidR="005112F5" w:rsidRPr="0077606A">
        <w:t xml:space="preserve"> at work.</w:t>
      </w:r>
      <w:r w:rsidR="000F4F4F" w:rsidRPr="0077606A">
        <w:rPr>
          <w:rStyle w:val="FootnoteReference"/>
        </w:rPr>
        <w:footnoteReference w:id="66"/>
      </w:r>
    </w:p>
    <w:p w14:paraId="016E597D" w14:textId="77777777" w:rsidR="00957E41" w:rsidRPr="0077606A" w:rsidRDefault="00957E41" w:rsidP="0016304F">
      <w:pPr>
        <w:spacing w:after="0"/>
      </w:pPr>
    </w:p>
    <w:p w14:paraId="63A9F70B" w14:textId="77777777" w:rsidR="0010423F" w:rsidRDefault="0010423F" w:rsidP="0016304F">
      <w:pPr>
        <w:pStyle w:val="Heading2"/>
        <w:spacing w:after="0"/>
        <w:rPr>
          <w:szCs w:val="24"/>
        </w:rPr>
      </w:pPr>
      <w:bookmarkStart w:id="19" w:name="_Toc511056647"/>
      <w:r w:rsidRPr="0077606A">
        <w:rPr>
          <w:szCs w:val="24"/>
        </w:rPr>
        <w:t>Education</w:t>
      </w:r>
      <w:bookmarkEnd w:id="19"/>
    </w:p>
    <w:p w14:paraId="2E38E758" w14:textId="77777777" w:rsidR="00B77F7D" w:rsidRDefault="00B77F7D" w:rsidP="0016304F">
      <w:pPr>
        <w:spacing w:after="0"/>
      </w:pPr>
    </w:p>
    <w:p w14:paraId="43AF19F9" w14:textId="78CB66EF" w:rsidR="00B12575" w:rsidRDefault="00B12575" w:rsidP="0016304F">
      <w:pPr>
        <w:spacing w:after="0"/>
      </w:pPr>
      <w:r>
        <w:t>In its 2017 Concluding Observations on education (Article 24 CRPD), the UN Committee expressed concern about the ‘</w:t>
      </w:r>
      <w:r w:rsidRPr="00B12575">
        <w:t xml:space="preserve">persistence of a dual education system </w:t>
      </w:r>
      <w:r w:rsidRPr="00B12575">
        <w:lastRenderedPageBreak/>
        <w:t>that segregates children with disabilities in special schools</w:t>
      </w:r>
      <w:r>
        <w:t>’.</w:t>
      </w:r>
      <w:r>
        <w:rPr>
          <w:rStyle w:val="FootnoteReference"/>
        </w:rPr>
        <w:footnoteReference w:id="67"/>
      </w:r>
      <w:r w:rsidR="00E865E3">
        <w:t xml:space="preserve"> This concern reflects a relatively high proportion of children with additional assessed needs placed in such settings, and the UK’s </w:t>
      </w:r>
      <w:r w:rsidR="007D25B8">
        <w:t>treaty</w:t>
      </w:r>
      <w:r w:rsidR="00E865E3">
        <w:t xml:space="preserve"> position that </w:t>
      </w:r>
      <w:r w:rsidR="007D25B8">
        <w:t>both</w:t>
      </w:r>
      <w:r w:rsidR="00E865E3">
        <w:t xml:space="preserve"> </w:t>
      </w:r>
      <w:r w:rsidR="007D25B8">
        <w:t>mainstream and special schools</w:t>
      </w:r>
      <w:r w:rsidR="00E865E3">
        <w:t xml:space="preserve"> exist as a part of the ‘</w:t>
      </w:r>
      <w:r w:rsidR="007D25B8">
        <w:t>general ed</w:t>
      </w:r>
      <w:r w:rsidR="00E865E3">
        <w:t>ucational system’.</w:t>
      </w:r>
      <w:r w:rsidR="00E865E3">
        <w:rPr>
          <w:rStyle w:val="FootnoteReference"/>
        </w:rPr>
        <w:footnoteReference w:id="68"/>
      </w:r>
      <w:r w:rsidR="00E865E3">
        <w:t xml:space="preserve"> </w:t>
      </w:r>
    </w:p>
    <w:p w14:paraId="16CFB4B1" w14:textId="77777777" w:rsidR="00B12575" w:rsidRDefault="00B12575" w:rsidP="0016304F">
      <w:pPr>
        <w:spacing w:after="0"/>
      </w:pPr>
    </w:p>
    <w:p w14:paraId="2BA0041D" w14:textId="77777777" w:rsidR="007D25B8" w:rsidRPr="000B5A39" w:rsidRDefault="007D25B8" w:rsidP="0016304F">
      <w:pPr>
        <w:spacing w:after="0"/>
        <w:rPr>
          <w:b/>
          <w:i/>
          <w:iCs/>
          <w:lang w:eastAsia="en-GB"/>
        </w:rPr>
      </w:pPr>
      <w:r w:rsidRPr="000B5A39">
        <w:rPr>
          <w:b/>
          <w:i/>
          <w:iCs/>
          <w:lang w:eastAsia="en-GB"/>
        </w:rPr>
        <w:t>SEN educational planning and support</w:t>
      </w:r>
    </w:p>
    <w:p w14:paraId="4B6EB035" w14:textId="53784603" w:rsidR="002F2674" w:rsidRDefault="002F2674" w:rsidP="0016304F">
      <w:pPr>
        <w:spacing w:after="0"/>
      </w:pPr>
      <w:r>
        <w:t>The majority of disabled children in the UK are placed in mainstream schools but a significant proportion of children with special educational needs attend special schools. In 2017 there were 1,037 special schools in England, ranging from fewer than 15 pupils to more than 300. Of these, the largest number were approved for the placement of children with moderate, severe learning or profound and multiple learning difficulties.</w:t>
      </w:r>
      <w:r>
        <w:rPr>
          <w:rStyle w:val="FootnoteReference"/>
        </w:rPr>
        <w:footnoteReference w:id="69"/>
      </w:r>
      <w:r>
        <w:t xml:space="preserve"> </w:t>
      </w:r>
    </w:p>
    <w:p w14:paraId="4BAC2177" w14:textId="77777777" w:rsidR="002F2674" w:rsidRDefault="002F2674" w:rsidP="0016304F">
      <w:pPr>
        <w:spacing w:after="0"/>
      </w:pPr>
    </w:p>
    <w:p w14:paraId="4AB22F31" w14:textId="5DF11F1D" w:rsidR="00066FC7" w:rsidRDefault="007D25B8" w:rsidP="0016304F">
      <w:pPr>
        <w:spacing w:after="0"/>
      </w:pPr>
      <w:r w:rsidRPr="0077606A">
        <w:t xml:space="preserve">As </w:t>
      </w:r>
      <w:r>
        <w:t xml:space="preserve">previously </w:t>
      </w:r>
      <w:r w:rsidRPr="0077606A">
        <w:t xml:space="preserve">reported, a </w:t>
      </w:r>
      <w:r>
        <w:t xml:space="preserve">revised </w:t>
      </w:r>
      <w:r w:rsidRPr="0077606A">
        <w:t>system of individualised Education, Health and Care Plans (EHCP) was introduced in 2014.</w:t>
      </w:r>
      <w:r w:rsidRPr="0077606A">
        <w:rPr>
          <w:rStyle w:val="FootnoteReference"/>
        </w:rPr>
        <w:footnoteReference w:id="70"/>
      </w:r>
      <w:r w:rsidRPr="0077606A">
        <w:t xml:space="preserve"> These set out assessed needs for a young person with Special Educational Need or Disability (SEND) and may continue up to the age of 25. All state-funded schools are required to admit a chil</w:t>
      </w:r>
      <w:r w:rsidR="00066FC7">
        <w:t>d whose EHCP names that school. The incidence of pupils with</w:t>
      </w:r>
      <w:r w:rsidR="002F2674">
        <w:t xml:space="preserve"> such</w:t>
      </w:r>
      <w:r w:rsidR="00066FC7">
        <w:t xml:space="preserve"> </w:t>
      </w:r>
      <w:r w:rsidR="002F2674">
        <w:t>plans has been stable in England for at least ten years at around 2.8%, although the overall incidence of pupils assessed as having special educational needs has fallen from 22.1% in 2007 to 17.2% in 2017.</w:t>
      </w:r>
      <w:r w:rsidR="002F2674">
        <w:rPr>
          <w:rStyle w:val="FootnoteReference"/>
        </w:rPr>
        <w:footnoteReference w:id="71"/>
      </w:r>
    </w:p>
    <w:p w14:paraId="33A041A8" w14:textId="77777777" w:rsidR="00066FC7" w:rsidRDefault="00066FC7" w:rsidP="0016304F">
      <w:pPr>
        <w:spacing w:after="0"/>
      </w:pPr>
    </w:p>
    <w:p w14:paraId="06ECA59C" w14:textId="0643958F" w:rsidR="00066FC7" w:rsidRDefault="007D25B8" w:rsidP="0016304F">
      <w:pPr>
        <w:spacing w:after="0"/>
      </w:pPr>
      <w:r w:rsidRPr="0077606A">
        <w:t xml:space="preserve">The pilot evaluation </w:t>
      </w:r>
      <w:r w:rsidR="002F2674">
        <w:t xml:space="preserve">for EHC plans </w:t>
      </w:r>
      <w:r w:rsidRPr="0077606A">
        <w:t xml:space="preserve">indicated little </w:t>
      </w:r>
      <w:r w:rsidR="002F2674">
        <w:t>change</w:t>
      </w:r>
      <w:r w:rsidRPr="0077606A">
        <w:t xml:space="preserve"> </w:t>
      </w:r>
      <w:r w:rsidR="002F2674">
        <w:t>in</w:t>
      </w:r>
      <w:r w:rsidRPr="0077606A">
        <w:t xml:space="preserve"> eligibility for support compared to the previous statementing system (except for newly eligible 19-25 year olds) but with more </w:t>
      </w:r>
      <w:r w:rsidR="002F2674">
        <w:t xml:space="preserve">demands on </w:t>
      </w:r>
      <w:r w:rsidRPr="0077606A">
        <w:t>information gathering</w:t>
      </w:r>
      <w:r w:rsidR="002F2674">
        <w:t xml:space="preserve">, </w:t>
      </w:r>
      <w:r w:rsidRPr="0077606A">
        <w:t xml:space="preserve">some </w:t>
      </w:r>
      <w:r w:rsidR="002F2674" w:rsidRPr="0077606A">
        <w:t xml:space="preserve">co-ordination </w:t>
      </w:r>
      <w:r w:rsidRPr="0077606A">
        <w:t>challenges between agencies</w:t>
      </w:r>
      <w:r w:rsidR="002F2674">
        <w:t>,</w:t>
      </w:r>
      <w:r w:rsidRPr="0077606A">
        <w:t xml:space="preserve"> and staffing capacity </w:t>
      </w:r>
      <w:r w:rsidR="002F2674">
        <w:t>of</w:t>
      </w:r>
      <w:r w:rsidRPr="0077606A">
        <w:t xml:space="preserve"> SEND co-ordinators.</w:t>
      </w:r>
      <w:r w:rsidRPr="0077606A">
        <w:rPr>
          <w:rStyle w:val="FootnoteReference"/>
        </w:rPr>
        <w:footnoteReference w:id="72"/>
      </w:r>
      <w:r w:rsidRPr="0077606A">
        <w:t xml:space="preserve"> An implementation update in March 2015 provide</w:t>
      </w:r>
      <w:r>
        <w:t>d</w:t>
      </w:r>
      <w:r w:rsidRPr="0077606A">
        <w:t xml:space="preserve"> non-statutory advice that emphasise</w:t>
      </w:r>
      <w:r>
        <w:t>d</w:t>
      </w:r>
      <w:r w:rsidRPr="0077606A">
        <w:t xml:space="preserve"> </w:t>
      </w:r>
      <w:r w:rsidR="002F2674">
        <w:t>a</w:t>
      </w:r>
      <w:r w:rsidRPr="0077606A">
        <w:t xml:space="preserve"> need for cultural change to improve outcomes, including greater participation of children and their families in decision making.</w:t>
      </w:r>
      <w:r w:rsidRPr="0077606A">
        <w:rPr>
          <w:rStyle w:val="FootnoteReference"/>
        </w:rPr>
        <w:footnoteReference w:id="73"/>
      </w:r>
      <w:r w:rsidRPr="0077606A">
        <w:t xml:space="preserve"> A </w:t>
      </w:r>
      <w:r w:rsidR="002F2674">
        <w:t>revised</w:t>
      </w:r>
      <w:r w:rsidRPr="0077606A">
        <w:t xml:space="preserve"> version of the Coordinated Assessment Process and EHCP information pack, developed in pilot, was also published.</w:t>
      </w:r>
      <w:r w:rsidRPr="0077606A">
        <w:rPr>
          <w:rStyle w:val="FootnoteReference"/>
        </w:rPr>
        <w:footnoteReference w:id="74"/>
      </w:r>
      <w:r w:rsidRPr="0077606A">
        <w:t xml:space="preserve"> </w:t>
      </w:r>
      <w:r>
        <w:t xml:space="preserve">At the end of 2016 the Council for Disabled Children published </w:t>
      </w:r>
      <w:r w:rsidR="002F2674">
        <w:t xml:space="preserve">a resource of </w:t>
      </w:r>
      <w:r>
        <w:t>examples of good practice.</w:t>
      </w:r>
      <w:r>
        <w:rPr>
          <w:rStyle w:val="FootnoteReference"/>
        </w:rPr>
        <w:footnoteReference w:id="75"/>
      </w:r>
      <w:r>
        <w:t xml:space="preserve"> </w:t>
      </w:r>
    </w:p>
    <w:p w14:paraId="2F1FB89D" w14:textId="144168DB" w:rsidR="004044FF" w:rsidRPr="009718E4" w:rsidRDefault="004044FF" w:rsidP="0016304F">
      <w:pPr>
        <w:spacing w:after="0"/>
        <w:rPr>
          <w:b/>
          <w:bCs/>
          <w:i/>
          <w:iCs/>
        </w:rPr>
      </w:pPr>
      <w:r w:rsidRPr="009718E4">
        <w:rPr>
          <w:b/>
          <w:bCs/>
          <w:i/>
          <w:iCs/>
        </w:rPr>
        <w:lastRenderedPageBreak/>
        <w:t>School leaving</w:t>
      </w:r>
    </w:p>
    <w:p w14:paraId="7820C454" w14:textId="6C875845" w:rsidR="007859CB" w:rsidRDefault="007859CB" w:rsidP="0016304F">
      <w:pPr>
        <w:spacing w:after="0"/>
      </w:pPr>
      <w:r>
        <w:t>The</w:t>
      </w:r>
      <w:r w:rsidRPr="007859CB">
        <w:t xml:space="preserve"> data presented earlier in Section 2.3 highlight</w:t>
      </w:r>
      <w:r w:rsidR="007D25B8">
        <w:t>ed</w:t>
      </w:r>
      <w:r w:rsidRPr="007859CB">
        <w:t xml:space="preserve"> the challenge of early leaving and qualifications deficit for many yo</w:t>
      </w:r>
      <w:r>
        <w:t>ung disabled people in the UK, compounding an already weak performance in early school leaving</w:t>
      </w:r>
      <w:r w:rsidR="007D25B8" w:rsidRPr="007D25B8">
        <w:t xml:space="preserve"> </w:t>
      </w:r>
      <w:r w:rsidR="007D25B8">
        <w:t>among the general population</w:t>
      </w:r>
      <w:r>
        <w:t>.</w:t>
      </w:r>
    </w:p>
    <w:p w14:paraId="1C18B37E" w14:textId="77777777" w:rsidR="007859CB" w:rsidRDefault="007859CB" w:rsidP="0016304F">
      <w:pPr>
        <w:spacing w:after="0"/>
      </w:pPr>
    </w:p>
    <w:p w14:paraId="1B8350A2" w14:textId="5070340A" w:rsidR="00A3147E" w:rsidRDefault="00A3147E" w:rsidP="0016304F">
      <w:pPr>
        <w:spacing w:after="0"/>
      </w:pPr>
      <w:r w:rsidRPr="0077606A">
        <w:t>Young people in the UK may leave secondary schooling in the year of their 16</w:t>
      </w:r>
      <w:r w:rsidRPr="0077606A">
        <w:rPr>
          <w:vertAlign w:val="superscript"/>
        </w:rPr>
        <w:t>th</w:t>
      </w:r>
      <w:r w:rsidRPr="0077606A">
        <w:t xml:space="preserve"> birthday, although in England they must remain in some form of </w:t>
      </w:r>
      <w:r w:rsidR="007859CB">
        <w:t xml:space="preserve">work, </w:t>
      </w:r>
      <w:r w:rsidRPr="0077606A">
        <w:t>education or training at least until their 18</w:t>
      </w:r>
      <w:r w:rsidRPr="0077606A">
        <w:rPr>
          <w:vertAlign w:val="superscript"/>
        </w:rPr>
        <w:t>th</w:t>
      </w:r>
      <w:r w:rsidRPr="0077606A">
        <w:t xml:space="preserve"> birthday (e.g. in school, college, apprenticeship, employment, voluntary work).</w:t>
      </w:r>
      <w:r w:rsidRPr="0077606A">
        <w:rPr>
          <w:vertAlign w:val="superscript"/>
        </w:rPr>
        <w:footnoteReference w:id="76"/>
      </w:r>
      <w:r w:rsidRPr="0077606A">
        <w:t xml:space="preserve"> In developing this reform, the previous Government established a Young People’s Advisory Group, including 16 young disabled people (facilitated by the Council for Disabled Children).</w:t>
      </w:r>
      <w:r w:rsidRPr="0077606A">
        <w:rPr>
          <w:vertAlign w:val="superscript"/>
        </w:rPr>
        <w:footnoteReference w:id="77"/>
      </w:r>
      <w:r w:rsidRPr="0077606A">
        <w:t xml:space="preserve"> This </w:t>
      </w:r>
      <w:r w:rsidR="007859CB">
        <w:t xml:space="preserve">de facto </w:t>
      </w:r>
      <w:r w:rsidRPr="0077606A">
        <w:t>raising of the leaving age in England reduce</w:t>
      </w:r>
      <w:r w:rsidR="007859CB">
        <w:t>s</w:t>
      </w:r>
      <w:r w:rsidRPr="0077606A">
        <w:t xml:space="preserve"> the number of 16-18 year-olds identified as not undertaking learning ‘within the past 4 weeks’ (the criterion for the early leaving indicator) but </w:t>
      </w:r>
      <w:r w:rsidR="007859CB">
        <w:t>does</w:t>
      </w:r>
      <w:r w:rsidR="007859CB" w:rsidRPr="0077606A">
        <w:t xml:space="preserve"> </w:t>
      </w:r>
      <w:r w:rsidRPr="0077606A">
        <w:t>not affect 18-24 year-olds, or those in other parts of the UK</w:t>
      </w:r>
      <w:r w:rsidR="002226FA">
        <w:t>.</w:t>
      </w:r>
    </w:p>
    <w:p w14:paraId="16C7F0A0" w14:textId="77777777" w:rsidR="00E100DD" w:rsidRDefault="00E100DD" w:rsidP="0016304F">
      <w:pPr>
        <w:spacing w:after="0"/>
      </w:pPr>
    </w:p>
    <w:p w14:paraId="6B2E9EE3" w14:textId="6CF1C06F" w:rsidR="002226FA" w:rsidRDefault="00E100DD" w:rsidP="0016304F">
      <w:pPr>
        <w:spacing w:after="0"/>
      </w:pPr>
      <w:r w:rsidRPr="0077606A">
        <w:t xml:space="preserve">Education Maintenance Allowance (EMA) is a small weekly incentive payment to </w:t>
      </w:r>
      <w:r>
        <w:t xml:space="preserve">support </w:t>
      </w:r>
      <w:r w:rsidRPr="0077606A">
        <w:t xml:space="preserve">young people from lower income households who </w:t>
      </w:r>
      <w:r>
        <w:t>continue in</w:t>
      </w:r>
      <w:r w:rsidRPr="0077606A">
        <w:t xml:space="preserve"> further education.</w:t>
      </w:r>
      <w:r w:rsidR="00D743E9">
        <w:rPr>
          <w:rStyle w:val="FootnoteReference"/>
        </w:rPr>
        <w:footnoteReference w:id="78"/>
      </w:r>
      <w:r w:rsidRPr="0077606A">
        <w:t xml:space="preserve"> It was abolished in England as part of the post-2010 budget cuts (with support </w:t>
      </w:r>
      <w:r w:rsidR="00D743E9">
        <w:t xml:space="preserve">being </w:t>
      </w:r>
      <w:r w:rsidRPr="0077606A">
        <w:t xml:space="preserve">devolved into college bursary funds) but </w:t>
      </w:r>
      <w:r w:rsidR="00D743E9">
        <w:t xml:space="preserve">was </w:t>
      </w:r>
      <w:r w:rsidRPr="0077606A">
        <w:t>maintained by the devolved authorities in Scotland, Wales and Northern Ireland. Equality Impact Assessments indicate</w:t>
      </w:r>
      <w:r w:rsidR="00D743E9">
        <w:t>d</w:t>
      </w:r>
      <w:r w:rsidRPr="0077606A">
        <w:t xml:space="preserve"> only a small proportion of disabled claimants (4% in Northern Ireland</w:t>
      </w:r>
      <w:r>
        <w:t>,</w:t>
      </w:r>
      <w:r w:rsidRPr="0077606A">
        <w:t xml:space="preserve"> 5.3% in Wales</w:t>
      </w:r>
      <w:r>
        <w:t>)</w:t>
      </w:r>
      <w:r w:rsidRPr="0077606A">
        <w:t xml:space="preserve"> but point</w:t>
      </w:r>
      <w:r w:rsidR="00D743E9">
        <w:t>ed</w:t>
      </w:r>
      <w:r w:rsidRPr="0077606A">
        <w:t xml:space="preserve"> to the relative educational and financial disadvantage experienced by young disabled people, and the potential for ‘unintended discrimination’ in devolving bursary decisions to individual colleges in England.</w:t>
      </w:r>
      <w:r w:rsidRPr="0077606A">
        <w:rPr>
          <w:vertAlign w:val="superscript"/>
        </w:rPr>
        <w:footnoteReference w:id="79"/>
      </w:r>
    </w:p>
    <w:p w14:paraId="5F0508C0" w14:textId="77777777" w:rsidR="00E865E3" w:rsidRDefault="00E865E3" w:rsidP="0016304F">
      <w:pPr>
        <w:spacing w:after="0"/>
      </w:pPr>
    </w:p>
    <w:p w14:paraId="5ACAEA22" w14:textId="77777777" w:rsidR="00E100DD" w:rsidRPr="002D012F" w:rsidRDefault="00E100DD" w:rsidP="0016304F">
      <w:pPr>
        <w:spacing w:after="0"/>
        <w:rPr>
          <w:b/>
          <w:bCs/>
          <w:i/>
          <w:iCs/>
          <w:lang w:eastAsia="en-GB"/>
        </w:rPr>
      </w:pPr>
      <w:r w:rsidRPr="002D012F">
        <w:rPr>
          <w:b/>
          <w:bCs/>
          <w:i/>
          <w:iCs/>
          <w:lang w:eastAsia="en-GB"/>
        </w:rPr>
        <w:t>Apprenticeships</w:t>
      </w:r>
    </w:p>
    <w:p w14:paraId="30E22949" w14:textId="330DD7EE" w:rsidR="00B00D21" w:rsidRDefault="002226FA" w:rsidP="0016304F">
      <w:pPr>
        <w:spacing w:after="0"/>
      </w:pPr>
      <w:r>
        <w:t xml:space="preserve">Apprenticeships were flagged as a means to deliver on skills mismatches in the 2016 CSRs. </w:t>
      </w:r>
      <w:r w:rsidR="00E951B1">
        <w:t xml:space="preserve">As in the previous year, the 2017 </w:t>
      </w:r>
      <w:r w:rsidR="00AD784C">
        <w:t xml:space="preserve">NRP </w:t>
      </w:r>
      <w:r w:rsidR="00E951B1">
        <w:t>addresses</w:t>
      </w:r>
      <w:r w:rsidR="00AD784C">
        <w:t xml:space="preserve"> the delivery of apprenticeships</w:t>
      </w:r>
      <w:r w:rsidR="00A3147E">
        <w:t xml:space="preserve">, </w:t>
      </w:r>
      <w:r w:rsidR="00A3147E" w:rsidRPr="00A3147E">
        <w:t xml:space="preserve">with a commitment to </w:t>
      </w:r>
      <w:r>
        <w:t xml:space="preserve">create </w:t>
      </w:r>
      <w:r w:rsidR="00A3147E" w:rsidRPr="00A3147E">
        <w:t>three million apprenticeships by 2020 and to improve on their quality.</w:t>
      </w:r>
      <w:r w:rsidR="00A3147E">
        <w:t xml:space="preserve"> </w:t>
      </w:r>
      <w:r w:rsidR="00B00D21">
        <w:t xml:space="preserve">The </w:t>
      </w:r>
      <w:r w:rsidR="00B00D21" w:rsidRPr="00B00D21">
        <w:t xml:space="preserve">Skills Funding Agency </w:t>
      </w:r>
      <w:r>
        <w:t xml:space="preserve">2014 </w:t>
      </w:r>
      <w:r w:rsidR="00B00D21" w:rsidRPr="00B00D21">
        <w:t xml:space="preserve">guidance on equality and diversity in apprenticeships </w:t>
      </w:r>
      <w:r>
        <w:t>includes</w:t>
      </w:r>
      <w:r w:rsidR="00B00D21" w:rsidRPr="00B00D21">
        <w:t xml:space="preserve"> a toolkit for employers of disabled apprentices.</w:t>
      </w:r>
      <w:r w:rsidR="00B00D21" w:rsidRPr="00B00D21">
        <w:rPr>
          <w:vertAlign w:val="superscript"/>
        </w:rPr>
        <w:footnoteReference w:id="80"/>
      </w:r>
      <w:r w:rsidR="00B00D21" w:rsidRPr="00B00D21">
        <w:t xml:space="preserve"> Disability Rights UK publish a guide for disabled people, parents and advisors on applying for apprenticeship schemes.</w:t>
      </w:r>
      <w:r w:rsidR="00B00D21" w:rsidRPr="00B00D21">
        <w:rPr>
          <w:vertAlign w:val="superscript"/>
        </w:rPr>
        <w:footnoteReference w:id="81"/>
      </w:r>
    </w:p>
    <w:p w14:paraId="6F56920F" w14:textId="77777777" w:rsidR="00B00D21" w:rsidRDefault="00B00D21" w:rsidP="0016304F">
      <w:pPr>
        <w:spacing w:after="0"/>
      </w:pPr>
    </w:p>
    <w:p w14:paraId="672E40A8" w14:textId="65C1A1E3" w:rsidR="00B00D21" w:rsidRDefault="00B00D21" w:rsidP="0016304F">
      <w:pPr>
        <w:spacing w:after="0"/>
      </w:pPr>
      <w:r w:rsidRPr="00B00D21">
        <w:t>The</w:t>
      </w:r>
      <w:r>
        <w:t xml:space="preserve"> Skills Funding Agency operates </w:t>
      </w:r>
      <w:r w:rsidRPr="00B00D21">
        <w:t xml:space="preserve">an ‘Equality and diversity good practice fund’ </w:t>
      </w:r>
      <w:r>
        <w:t>for</w:t>
      </w:r>
      <w:r w:rsidRPr="00B00D21">
        <w:t xml:space="preserve"> </w:t>
      </w:r>
      <w:r>
        <w:t xml:space="preserve">further education </w:t>
      </w:r>
      <w:r w:rsidRPr="00B00D21">
        <w:t>providers.</w:t>
      </w:r>
      <w:r w:rsidRPr="00B00D21">
        <w:rPr>
          <w:vertAlign w:val="superscript"/>
        </w:rPr>
        <w:footnoteReference w:id="82"/>
      </w:r>
      <w:r w:rsidRPr="00B00D21">
        <w:t xml:space="preserve"> </w:t>
      </w:r>
      <w:r>
        <w:t>This funded 29 grants in 20</w:t>
      </w:r>
      <w:r w:rsidR="006447A1">
        <w:t>15, which included targeted projects on ‘</w:t>
      </w:r>
      <w:r w:rsidR="006447A1" w:rsidRPr="006447A1">
        <w:t>Identifying and disseminating best practice for apprentices with SEN</w:t>
      </w:r>
      <w:r w:rsidR="00DC45FF">
        <w:t xml:space="preserve">’, </w:t>
      </w:r>
      <w:r w:rsidR="006447A1">
        <w:lastRenderedPageBreak/>
        <w:t>‘</w:t>
      </w:r>
      <w:r w:rsidR="006447A1" w:rsidRPr="006447A1">
        <w:t>Advancing equality for disabled learners in workplace learning</w:t>
      </w:r>
      <w:r w:rsidR="006447A1">
        <w:t>’, ‘</w:t>
      </w:r>
      <w:r w:rsidR="006447A1" w:rsidRPr="006447A1">
        <w:t>Pathways to apprenticeships</w:t>
      </w:r>
      <w:r w:rsidR="006447A1">
        <w:t>’, and other projects in which disability was mainstreamed.</w:t>
      </w:r>
      <w:r w:rsidR="006447A1">
        <w:rPr>
          <w:rStyle w:val="FootnoteReference"/>
        </w:rPr>
        <w:footnoteReference w:id="83"/>
      </w:r>
    </w:p>
    <w:p w14:paraId="74736CEE" w14:textId="77777777" w:rsidR="00B00D21" w:rsidRDefault="00B00D21" w:rsidP="0016304F">
      <w:pPr>
        <w:spacing w:after="0"/>
      </w:pPr>
    </w:p>
    <w:p w14:paraId="0B26E8FD" w14:textId="633FDD4B" w:rsidR="00AD784C" w:rsidRDefault="002226FA" w:rsidP="0016304F">
      <w:pPr>
        <w:spacing w:after="0"/>
        <w:rPr>
          <w:lang w:eastAsia="en-GB"/>
        </w:rPr>
      </w:pPr>
      <w:r>
        <w:rPr>
          <w:lang w:eastAsia="en-GB"/>
        </w:rPr>
        <w:t>The</w:t>
      </w:r>
      <w:r w:rsidR="00AD784C" w:rsidRPr="0077606A">
        <w:rPr>
          <w:lang w:eastAsia="en-GB"/>
        </w:rPr>
        <w:t xml:space="preserve"> number of disabled people identified as participating in apprenticeships increased </w:t>
      </w:r>
      <w:r w:rsidR="006447A1">
        <w:rPr>
          <w:lang w:eastAsia="en-GB"/>
        </w:rPr>
        <w:t>considerably between</w:t>
      </w:r>
      <w:r w:rsidR="00AD784C">
        <w:rPr>
          <w:lang w:eastAsia="en-GB"/>
        </w:rPr>
        <w:t xml:space="preserve"> 2000</w:t>
      </w:r>
      <w:r w:rsidR="006447A1">
        <w:rPr>
          <w:lang w:eastAsia="en-GB"/>
        </w:rPr>
        <w:t xml:space="preserve"> and 2012</w:t>
      </w:r>
      <w:r w:rsidR="00AD784C" w:rsidRPr="0077606A">
        <w:rPr>
          <w:lang w:eastAsia="en-GB"/>
        </w:rPr>
        <w:t xml:space="preserve">. The latest </w:t>
      </w:r>
      <w:r w:rsidR="006447A1">
        <w:rPr>
          <w:lang w:eastAsia="en-GB"/>
        </w:rPr>
        <w:t xml:space="preserve">reporting </w:t>
      </w:r>
      <w:r w:rsidR="00AD784C">
        <w:rPr>
          <w:lang w:eastAsia="en-GB"/>
        </w:rPr>
        <w:t>period</w:t>
      </w:r>
      <w:r w:rsidR="00AD784C" w:rsidRPr="0077606A">
        <w:rPr>
          <w:lang w:eastAsia="en-GB"/>
        </w:rPr>
        <w:t xml:space="preserve"> </w:t>
      </w:r>
      <w:r w:rsidR="00AD784C">
        <w:rPr>
          <w:lang w:eastAsia="en-GB"/>
        </w:rPr>
        <w:t>includes provisional data for 2015/16</w:t>
      </w:r>
      <w:r w:rsidR="006447A1">
        <w:rPr>
          <w:lang w:eastAsia="en-GB"/>
        </w:rPr>
        <w:t>, showing t</w:t>
      </w:r>
      <w:r w:rsidR="00AD784C" w:rsidRPr="0077606A">
        <w:rPr>
          <w:lang w:eastAsia="en-GB"/>
        </w:rPr>
        <w:t xml:space="preserve">hat new starts </w:t>
      </w:r>
      <w:r w:rsidR="00B00D21">
        <w:rPr>
          <w:lang w:eastAsia="en-GB"/>
        </w:rPr>
        <w:t xml:space="preserve">have picked up again over the past two years and that </w:t>
      </w:r>
      <w:r w:rsidR="006447A1">
        <w:rPr>
          <w:lang w:eastAsia="en-GB"/>
        </w:rPr>
        <w:t>an</w:t>
      </w:r>
      <w:r w:rsidR="00B00D21">
        <w:rPr>
          <w:lang w:eastAsia="en-GB"/>
        </w:rPr>
        <w:t xml:space="preserve"> increasing proportion of disabled starters mirrors this</w:t>
      </w:r>
      <w:r w:rsidR="006447A1">
        <w:rPr>
          <w:lang w:eastAsia="en-GB"/>
        </w:rPr>
        <w:t xml:space="preserve"> trend</w:t>
      </w:r>
      <w:r w:rsidR="00AD784C" w:rsidRPr="0077606A">
        <w:rPr>
          <w:lang w:eastAsia="en-GB"/>
        </w:rPr>
        <w:t>.</w:t>
      </w:r>
      <w:r w:rsidR="00AD784C" w:rsidRPr="0077606A">
        <w:rPr>
          <w:rStyle w:val="FootnoteReference"/>
          <w:lang w:eastAsia="en-GB"/>
        </w:rPr>
        <w:footnoteReference w:id="84"/>
      </w:r>
      <w:r w:rsidR="00E865E3">
        <w:rPr>
          <w:lang w:eastAsia="en-GB"/>
        </w:rPr>
        <w:t xml:space="preserve"> Overall, however, there was a decline in the number of reported starts in 2016/17.</w:t>
      </w:r>
    </w:p>
    <w:p w14:paraId="6EC4F591" w14:textId="77777777" w:rsidR="00AD784C" w:rsidRPr="0077606A" w:rsidRDefault="00AD784C" w:rsidP="0016304F">
      <w:pPr>
        <w:spacing w:after="0"/>
        <w:rPr>
          <w:lang w:eastAsia="en-GB"/>
        </w:rPr>
      </w:pPr>
    </w:p>
    <w:p w14:paraId="150DBCB5" w14:textId="2D17F51C" w:rsidR="00AD784C" w:rsidRPr="009718E4" w:rsidRDefault="00AD784C" w:rsidP="0016304F">
      <w:pPr>
        <w:keepNext/>
        <w:spacing w:after="0"/>
        <w:rPr>
          <w:b/>
          <w:bCs/>
          <w:sz w:val="20"/>
          <w:szCs w:val="20"/>
          <w:lang w:eastAsia="en-GB"/>
        </w:rPr>
      </w:pPr>
      <w:r w:rsidRPr="009718E4">
        <w:rPr>
          <w:b/>
          <w:bCs/>
          <w:sz w:val="20"/>
          <w:szCs w:val="20"/>
          <w:lang w:eastAsia="en-GB"/>
        </w:rPr>
        <w:t>Table</w:t>
      </w:r>
      <w:r w:rsidR="00167572" w:rsidRPr="009718E4">
        <w:rPr>
          <w:b/>
          <w:bCs/>
          <w:sz w:val="20"/>
          <w:szCs w:val="20"/>
          <w:lang w:eastAsia="en-GB"/>
        </w:rPr>
        <w:t xml:space="preserve"> </w:t>
      </w:r>
      <w:r w:rsidR="00167572" w:rsidRPr="009718E4">
        <w:rPr>
          <w:b/>
          <w:bCs/>
          <w:sz w:val="20"/>
          <w:szCs w:val="20"/>
        </w:rPr>
        <w:fldChar w:fldCharType="begin"/>
      </w:r>
      <w:r w:rsidR="00167572" w:rsidRPr="009718E4">
        <w:rPr>
          <w:b/>
          <w:bCs/>
          <w:sz w:val="20"/>
          <w:szCs w:val="20"/>
        </w:rPr>
        <w:instrText xml:space="preserve"> SEQ Table \* ARABIC </w:instrText>
      </w:r>
      <w:r w:rsidR="00167572" w:rsidRPr="009718E4">
        <w:rPr>
          <w:b/>
          <w:bCs/>
          <w:sz w:val="20"/>
          <w:szCs w:val="20"/>
        </w:rPr>
        <w:fldChar w:fldCharType="separate"/>
      </w:r>
      <w:r w:rsidR="00167572" w:rsidRPr="009718E4">
        <w:rPr>
          <w:b/>
          <w:bCs/>
          <w:noProof/>
          <w:sz w:val="20"/>
          <w:szCs w:val="20"/>
        </w:rPr>
        <w:t>21</w:t>
      </w:r>
      <w:r w:rsidR="00167572" w:rsidRPr="009718E4">
        <w:rPr>
          <w:b/>
          <w:sz w:val="20"/>
          <w:szCs w:val="20"/>
        </w:rPr>
        <w:fldChar w:fldCharType="end"/>
      </w:r>
      <w:r w:rsidRPr="009718E4">
        <w:rPr>
          <w:b/>
          <w:bCs/>
          <w:sz w:val="20"/>
          <w:szCs w:val="20"/>
          <w:lang w:eastAsia="en-GB"/>
        </w:rPr>
        <w:t>: Apprenticeship Programme Starts by Learners with Learning Difficulties and/ or Disabilities (2012/3 to 201</w:t>
      </w:r>
      <w:r w:rsidR="002226FA" w:rsidRPr="009718E4">
        <w:rPr>
          <w:b/>
          <w:bCs/>
          <w:sz w:val="20"/>
          <w:szCs w:val="20"/>
          <w:lang w:eastAsia="en-GB"/>
        </w:rPr>
        <w:t>6</w:t>
      </w:r>
      <w:r w:rsidRPr="009718E4">
        <w:rPr>
          <w:b/>
          <w:bCs/>
          <w:sz w:val="20"/>
          <w:szCs w:val="20"/>
          <w:lang w:eastAsia="en-GB"/>
        </w:rPr>
        <w:t>/1</w:t>
      </w:r>
      <w:r w:rsidR="002226FA" w:rsidRPr="009718E4">
        <w:rPr>
          <w:b/>
          <w:bCs/>
          <w:sz w:val="20"/>
          <w:szCs w:val="20"/>
          <w:lang w:eastAsia="en-GB"/>
        </w:rPr>
        <w:t>7</w:t>
      </w:r>
      <w:r w:rsidRPr="009718E4">
        <w:rPr>
          <w:b/>
          <w:bCs/>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809"/>
        <w:gridCol w:w="664"/>
        <w:gridCol w:w="809"/>
        <w:gridCol w:w="664"/>
        <w:gridCol w:w="809"/>
        <w:gridCol w:w="664"/>
        <w:gridCol w:w="809"/>
        <w:gridCol w:w="664"/>
        <w:gridCol w:w="809"/>
        <w:gridCol w:w="664"/>
      </w:tblGrid>
      <w:tr w:rsidR="004C65B6" w:rsidRPr="004C65B6" w14:paraId="2566F8BB" w14:textId="1F33F546" w:rsidTr="004C65B6">
        <w:trPr>
          <w:trHeight w:val="302"/>
        </w:trPr>
        <w:tc>
          <w:tcPr>
            <w:tcW w:w="0" w:type="auto"/>
            <w:shd w:val="clear" w:color="auto" w:fill="auto"/>
            <w:vAlign w:val="center"/>
          </w:tcPr>
          <w:p w14:paraId="4B0D1723" w14:textId="77777777" w:rsidR="002226FA" w:rsidRPr="009718E4" w:rsidRDefault="002226FA" w:rsidP="0016304F">
            <w:pPr>
              <w:keepNext/>
              <w:spacing w:after="0"/>
              <w:jc w:val="center"/>
              <w:rPr>
                <w:rFonts w:asciiTheme="minorHAnsi" w:hAnsiTheme="minorHAnsi"/>
                <w:b/>
                <w:bCs/>
                <w:sz w:val="18"/>
                <w:szCs w:val="18"/>
              </w:rPr>
            </w:pPr>
          </w:p>
        </w:tc>
        <w:tc>
          <w:tcPr>
            <w:tcW w:w="0" w:type="auto"/>
            <w:gridSpan w:val="2"/>
            <w:shd w:val="clear" w:color="auto" w:fill="auto"/>
            <w:noWrap/>
            <w:vAlign w:val="center"/>
          </w:tcPr>
          <w:p w14:paraId="503D7A12" w14:textId="77777777" w:rsidR="002226FA" w:rsidRPr="009718E4" w:rsidRDefault="002226FA" w:rsidP="0016304F">
            <w:pPr>
              <w:keepNext/>
              <w:spacing w:after="0"/>
              <w:jc w:val="center"/>
              <w:rPr>
                <w:rFonts w:asciiTheme="minorHAnsi" w:hAnsiTheme="minorHAnsi"/>
                <w:i/>
                <w:iCs/>
                <w:sz w:val="18"/>
                <w:szCs w:val="18"/>
                <w:lang w:eastAsia="en-GB"/>
              </w:rPr>
            </w:pPr>
            <w:r w:rsidRPr="009718E4">
              <w:rPr>
                <w:rFonts w:asciiTheme="minorHAnsi" w:hAnsiTheme="minorHAnsi"/>
                <w:b/>
                <w:bCs/>
                <w:sz w:val="18"/>
                <w:szCs w:val="18"/>
              </w:rPr>
              <w:t>2012/13</w:t>
            </w:r>
          </w:p>
        </w:tc>
        <w:tc>
          <w:tcPr>
            <w:tcW w:w="0" w:type="auto"/>
            <w:gridSpan w:val="2"/>
            <w:shd w:val="clear" w:color="auto" w:fill="auto"/>
            <w:noWrap/>
            <w:vAlign w:val="center"/>
          </w:tcPr>
          <w:p w14:paraId="6180F501" w14:textId="77777777" w:rsidR="002226FA" w:rsidRPr="009718E4" w:rsidRDefault="002226FA" w:rsidP="0016304F">
            <w:pPr>
              <w:keepNext/>
              <w:spacing w:after="0"/>
              <w:jc w:val="center"/>
              <w:rPr>
                <w:rFonts w:asciiTheme="minorHAnsi" w:hAnsiTheme="minorHAnsi"/>
                <w:i/>
                <w:iCs/>
                <w:sz w:val="18"/>
                <w:szCs w:val="18"/>
                <w:lang w:eastAsia="en-GB"/>
              </w:rPr>
            </w:pPr>
            <w:r w:rsidRPr="009718E4">
              <w:rPr>
                <w:rFonts w:asciiTheme="minorHAnsi" w:hAnsiTheme="minorHAnsi"/>
                <w:b/>
                <w:bCs/>
                <w:sz w:val="18"/>
                <w:szCs w:val="18"/>
              </w:rPr>
              <w:t>2013/14</w:t>
            </w:r>
          </w:p>
        </w:tc>
        <w:tc>
          <w:tcPr>
            <w:tcW w:w="0" w:type="auto"/>
            <w:gridSpan w:val="2"/>
            <w:shd w:val="clear" w:color="auto" w:fill="auto"/>
            <w:vAlign w:val="center"/>
          </w:tcPr>
          <w:p w14:paraId="2B4419DB" w14:textId="77777777" w:rsidR="002226FA" w:rsidRPr="009718E4" w:rsidRDefault="002226FA" w:rsidP="0016304F">
            <w:pPr>
              <w:keepNext/>
              <w:spacing w:after="0"/>
              <w:jc w:val="center"/>
              <w:rPr>
                <w:rFonts w:asciiTheme="minorHAnsi" w:hAnsiTheme="minorHAnsi"/>
                <w:i/>
                <w:iCs/>
                <w:sz w:val="18"/>
                <w:szCs w:val="18"/>
                <w:lang w:eastAsia="en-GB"/>
              </w:rPr>
            </w:pPr>
            <w:r w:rsidRPr="009718E4">
              <w:rPr>
                <w:rFonts w:asciiTheme="minorHAnsi" w:hAnsiTheme="minorHAnsi"/>
                <w:b/>
                <w:bCs/>
                <w:sz w:val="18"/>
                <w:szCs w:val="18"/>
              </w:rPr>
              <w:t>2014/15</w:t>
            </w:r>
          </w:p>
        </w:tc>
        <w:tc>
          <w:tcPr>
            <w:tcW w:w="0" w:type="auto"/>
            <w:gridSpan w:val="2"/>
            <w:vAlign w:val="center"/>
          </w:tcPr>
          <w:p w14:paraId="6EA0AF03" w14:textId="77777777" w:rsidR="002226FA" w:rsidRPr="009718E4" w:rsidRDefault="002226FA" w:rsidP="0016304F">
            <w:pPr>
              <w:keepNext/>
              <w:spacing w:after="0"/>
              <w:jc w:val="center"/>
              <w:rPr>
                <w:rFonts w:asciiTheme="minorHAnsi" w:hAnsiTheme="minorHAnsi"/>
                <w:b/>
                <w:bCs/>
                <w:sz w:val="18"/>
                <w:szCs w:val="18"/>
              </w:rPr>
            </w:pPr>
            <w:r w:rsidRPr="009718E4">
              <w:rPr>
                <w:rFonts w:asciiTheme="minorHAnsi" w:hAnsiTheme="minorHAnsi"/>
                <w:b/>
                <w:bCs/>
                <w:sz w:val="18"/>
                <w:szCs w:val="18"/>
              </w:rPr>
              <w:t>2015/16</w:t>
            </w:r>
          </w:p>
        </w:tc>
        <w:tc>
          <w:tcPr>
            <w:tcW w:w="0" w:type="auto"/>
            <w:gridSpan w:val="2"/>
          </w:tcPr>
          <w:p w14:paraId="275535CE" w14:textId="54267791" w:rsidR="002226FA" w:rsidRPr="009718E4" w:rsidRDefault="002226FA" w:rsidP="0016304F">
            <w:pPr>
              <w:keepNext/>
              <w:spacing w:after="0"/>
              <w:jc w:val="center"/>
              <w:rPr>
                <w:rFonts w:asciiTheme="minorHAnsi" w:hAnsiTheme="minorHAnsi"/>
                <w:b/>
                <w:bCs/>
                <w:sz w:val="18"/>
                <w:szCs w:val="18"/>
              </w:rPr>
            </w:pPr>
            <w:r w:rsidRPr="009718E4">
              <w:rPr>
                <w:rFonts w:asciiTheme="minorHAnsi" w:hAnsiTheme="minorHAnsi"/>
                <w:b/>
                <w:bCs/>
                <w:sz w:val="18"/>
                <w:szCs w:val="18"/>
              </w:rPr>
              <w:t>2016/17</w:t>
            </w:r>
          </w:p>
        </w:tc>
      </w:tr>
      <w:tr w:rsidR="004C65B6" w:rsidRPr="004C65B6" w14:paraId="7A03D56F" w14:textId="0AFDDC3B" w:rsidTr="009718E4">
        <w:trPr>
          <w:cantSplit/>
          <w:trHeight w:val="674"/>
        </w:trPr>
        <w:tc>
          <w:tcPr>
            <w:tcW w:w="0" w:type="auto"/>
            <w:shd w:val="clear" w:color="auto" w:fill="auto"/>
            <w:vAlign w:val="center"/>
          </w:tcPr>
          <w:p w14:paraId="7A60F479" w14:textId="051689B6" w:rsidR="002226FA" w:rsidRPr="009718E4" w:rsidRDefault="002226FA" w:rsidP="0016304F">
            <w:pPr>
              <w:keepNext/>
              <w:spacing w:after="0"/>
              <w:rPr>
                <w:rFonts w:asciiTheme="minorHAnsi" w:hAnsiTheme="minorHAnsi"/>
                <w:b/>
                <w:bCs/>
                <w:sz w:val="18"/>
                <w:szCs w:val="18"/>
                <w:lang w:eastAsia="en-GB"/>
              </w:rPr>
            </w:pPr>
            <w:r w:rsidRPr="009718E4">
              <w:rPr>
                <w:rFonts w:asciiTheme="minorHAnsi" w:hAnsiTheme="minorHAnsi"/>
                <w:b/>
                <w:bCs/>
                <w:sz w:val="18"/>
                <w:szCs w:val="18"/>
              </w:rPr>
              <w:t>Learning Difficulty/</w:t>
            </w:r>
            <w:r w:rsidR="004C65B6" w:rsidRPr="009718E4">
              <w:rPr>
                <w:rFonts w:asciiTheme="minorHAnsi" w:hAnsiTheme="minorHAnsi"/>
                <w:b/>
                <w:bCs/>
                <w:sz w:val="18"/>
                <w:szCs w:val="18"/>
              </w:rPr>
              <w:t xml:space="preserve"> </w:t>
            </w:r>
            <w:r w:rsidRPr="009718E4">
              <w:rPr>
                <w:rFonts w:asciiTheme="minorHAnsi" w:hAnsiTheme="minorHAnsi"/>
                <w:b/>
                <w:bCs/>
                <w:sz w:val="18"/>
                <w:szCs w:val="18"/>
              </w:rPr>
              <w:t>Disability</w:t>
            </w:r>
          </w:p>
        </w:tc>
        <w:tc>
          <w:tcPr>
            <w:tcW w:w="0" w:type="auto"/>
            <w:shd w:val="clear" w:color="auto" w:fill="auto"/>
            <w:noWrap/>
            <w:vAlign w:val="center"/>
          </w:tcPr>
          <w:p w14:paraId="748FBE4A"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42,850</w:t>
            </w:r>
          </w:p>
        </w:tc>
        <w:tc>
          <w:tcPr>
            <w:tcW w:w="0" w:type="auto"/>
            <w:shd w:val="clear" w:color="auto" w:fill="auto"/>
            <w:noWrap/>
            <w:vAlign w:val="center"/>
          </w:tcPr>
          <w:p w14:paraId="4984124C" w14:textId="3F8CC95E"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8.4%</w:t>
            </w:r>
          </w:p>
        </w:tc>
        <w:tc>
          <w:tcPr>
            <w:tcW w:w="0" w:type="auto"/>
            <w:shd w:val="clear" w:color="auto" w:fill="auto"/>
            <w:noWrap/>
            <w:vAlign w:val="center"/>
          </w:tcPr>
          <w:p w14:paraId="6ABEB95C"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38,170</w:t>
            </w:r>
          </w:p>
        </w:tc>
        <w:tc>
          <w:tcPr>
            <w:tcW w:w="0" w:type="auto"/>
            <w:vAlign w:val="center"/>
          </w:tcPr>
          <w:p w14:paraId="31D9F0C3" w14:textId="1715E914"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8.7%</w:t>
            </w:r>
          </w:p>
        </w:tc>
        <w:tc>
          <w:tcPr>
            <w:tcW w:w="0" w:type="auto"/>
            <w:vAlign w:val="center"/>
          </w:tcPr>
          <w:p w14:paraId="10F649BA"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color w:val="000000"/>
                <w:sz w:val="18"/>
                <w:szCs w:val="18"/>
              </w:rPr>
              <w:t>44,090</w:t>
            </w:r>
          </w:p>
        </w:tc>
        <w:tc>
          <w:tcPr>
            <w:tcW w:w="0" w:type="auto"/>
            <w:shd w:val="clear" w:color="auto" w:fill="auto"/>
            <w:noWrap/>
            <w:vAlign w:val="center"/>
          </w:tcPr>
          <w:p w14:paraId="537712BA" w14:textId="3E9B5425"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color w:val="000000"/>
                <w:sz w:val="18"/>
                <w:szCs w:val="18"/>
              </w:rPr>
              <w:t>8.8%</w:t>
            </w:r>
          </w:p>
        </w:tc>
        <w:tc>
          <w:tcPr>
            <w:tcW w:w="0" w:type="auto"/>
            <w:vAlign w:val="center"/>
          </w:tcPr>
          <w:p w14:paraId="1A163F37" w14:textId="77777777" w:rsidR="002226FA" w:rsidRPr="009718E4" w:rsidRDefault="002226FA" w:rsidP="0016304F">
            <w:pPr>
              <w:spacing w:after="0"/>
              <w:jc w:val="right"/>
              <w:rPr>
                <w:rFonts w:asciiTheme="minorHAnsi" w:hAnsiTheme="minorHAnsi"/>
                <w:sz w:val="18"/>
                <w:szCs w:val="18"/>
              </w:rPr>
            </w:pPr>
            <w:r w:rsidRPr="009718E4">
              <w:rPr>
                <w:rFonts w:asciiTheme="minorHAnsi" w:hAnsiTheme="minorHAnsi"/>
                <w:color w:val="000000"/>
                <w:sz w:val="18"/>
                <w:szCs w:val="18"/>
              </w:rPr>
              <w:t>50,110</w:t>
            </w:r>
          </w:p>
        </w:tc>
        <w:tc>
          <w:tcPr>
            <w:tcW w:w="0" w:type="auto"/>
            <w:vAlign w:val="center"/>
          </w:tcPr>
          <w:p w14:paraId="6283EC0F" w14:textId="67F7EBE7" w:rsidR="002226FA" w:rsidRPr="009718E4" w:rsidRDefault="002226FA" w:rsidP="0016304F">
            <w:pPr>
              <w:spacing w:after="0"/>
              <w:jc w:val="right"/>
              <w:rPr>
                <w:rFonts w:asciiTheme="minorHAnsi" w:hAnsiTheme="minorHAnsi"/>
                <w:sz w:val="18"/>
                <w:szCs w:val="18"/>
              </w:rPr>
            </w:pPr>
            <w:r w:rsidRPr="009718E4">
              <w:rPr>
                <w:rFonts w:asciiTheme="minorHAnsi" w:hAnsiTheme="minorHAnsi"/>
                <w:i/>
                <w:iCs/>
                <w:color w:val="000000"/>
                <w:sz w:val="18"/>
                <w:szCs w:val="18"/>
              </w:rPr>
              <w:t>9.9%</w:t>
            </w:r>
          </w:p>
        </w:tc>
        <w:tc>
          <w:tcPr>
            <w:tcW w:w="0" w:type="auto"/>
            <w:vAlign w:val="center"/>
          </w:tcPr>
          <w:p w14:paraId="647B7C57" w14:textId="47012363" w:rsidR="002226FA" w:rsidRPr="009718E4" w:rsidRDefault="002226FA" w:rsidP="0016304F">
            <w:pPr>
              <w:spacing w:after="0"/>
              <w:jc w:val="right"/>
              <w:rPr>
                <w:rFonts w:asciiTheme="minorHAnsi" w:hAnsiTheme="minorHAnsi"/>
                <w:color w:val="000000"/>
                <w:sz w:val="18"/>
                <w:szCs w:val="18"/>
              </w:rPr>
            </w:pPr>
            <w:r w:rsidRPr="009718E4">
              <w:rPr>
                <w:rFonts w:asciiTheme="minorHAnsi" w:hAnsiTheme="minorHAnsi"/>
                <w:color w:val="000000"/>
                <w:sz w:val="18"/>
                <w:szCs w:val="18"/>
              </w:rPr>
              <w:t>50,470</w:t>
            </w:r>
          </w:p>
        </w:tc>
        <w:tc>
          <w:tcPr>
            <w:tcW w:w="0" w:type="auto"/>
            <w:vAlign w:val="center"/>
          </w:tcPr>
          <w:p w14:paraId="47F68658" w14:textId="2D21DC4E" w:rsidR="002226FA" w:rsidRPr="009718E4" w:rsidRDefault="002226FA" w:rsidP="0016304F">
            <w:pPr>
              <w:spacing w:after="0"/>
              <w:jc w:val="right"/>
              <w:rPr>
                <w:rFonts w:asciiTheme="minorHAnsi" w:hAnsiTheme="minorHAnsi"/>
                <w:i/>
                <w:iCs/>
                <w:color w:val="000000"/>
                <w:sz w:val="18"/>
                <w:szCs w:val="18"/>
              </w:rPr>
            </w:pPr>
            <w:r w:rsidRPr="009718E4">
              <w:rPr>
                <w:rFonts w:asciiTheme="minorHAnsi" w:hAnsiTheme="minorHAnsi"/>
                <w:i/>
                <w:iCs/>
                <w:color w:val="000000"/>
                <w:sz w:val="18"/>
                <w:szCs w:val="18"/>
              </w:rPr>
              <w:t>10.3</w:t>
            </w:r>
            <w:r w:rsidR="004C65B6" w:rsidRPr="009718E4">
              <w:rPr>
                <w:rFonts w:asciiTheme="minorHAnsi" w:hAnsiTheme="minorHAnsi"/>
                <w:i/>
                <w:iCs/>
                <w:color w:val="000000"/>
                <w:sz w:val="18"/>
                <w:szCs w:val="18"/>
              </w:rPr>
              <w:t>%</w:t>
            </w:r>
          </w:p>
        </w:tc>
      </w:tr>
      <w:tr w:rsidR="004C65B6" w:rsidRPr="004C65B6" w14:paraId="71F56F4C" w14:textId="578CBFAD" w:rsidTr="009718E4">
        <w:trPr>
          <w:cantSplit/>
          <w:trHeight w:val="674"/>
        </w:trPr>
        <w:tc>
          <w:tcPr>
            <w:tcW w:w="0" w:type="auto"/>
            <w:shd w:val="clear" w:color="auto" w:fill="auto"/>
            <w:vAlign w:val="center"/>
          </w:tcPr>
          <w:p w14:paraId="0020094D" w14:textId="4CADB886" w:rsidR="002226FA" w:rsidRPr="009718E4" w:rsidRDefault="002226FA" w:rsidP="0016304F">
            <w:pPr>
              <w:keepNext/>
              <w:spacing w:after="0"/>
              <w:rPr>
                <w:rFonts w:asciiTheme="minorHAnsi" w:hAnsiTheme="minorHAnsi"/>
                <w:b/>
                <w:bCs/>
                <w:sz w:val="18"/>
                <w:szCs w:val="18"/>
                <w:lang w:eastAsia="en-GB"/>
              </w:rPr>
            </w:pPr>
            <w:r w:rsidRPr="009718E4">
              <w:rPr>
                <w:rFonts w:asciiTheme="minorHAnsi" w:hAnsiTheme="minorHAnsi"/>
                <w:b/>
                <w:bCs/>
                <w:sz w:val="18"/>
                <w:szCs w:val="18"/>
              </w:rPr>
              <w:t>No Learning Difficulty/</w:t>
            </w:r>
            <w:r w:rsidR="004C65B6" w:rsidRPr="009718E4">
              <w:rPr>
                <w:rFonts w:asciiTheme="minorHAnsi" w:hAnsiTheme="minorHAnsi"/>
                <w:b/>
                <w:bCs/>
                <w:sz w:val="18"/>
                <w:szCs w:val="18"/>
              </w:rPr>
              <w:t xml:space="preserve"> </w:t>
            </w:r>
            <w:r w:rsidRPr="009718E4">
              <w:rPr>
                <w:rFonts w:asciiTheme="minorHAnsi" w:hAnsiTheme="minorHAnsi"/>
                <w:b/>
                <w:bCs/>
                <w:sz w:val="18"/>
                <w:szCs w:val="18"/>
              </w:rPr>
              <w:t>Disability</w:t>
            </w:r>
          </w:p>
        </w:tc>
        <w:tc>
          <w:tcPr>
            <w:tcW w:w="0" w:type="auto"/>
            <w:shd w:val="clear" w:color="auto" w:fill="auto"/>
            <w:noWrap/>
            <w:vAlign w:val="center"/>
          </w:tcPr>
          <w:p w14:paraId="681179C1"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461,150</w:t>
            </w:r>
          </w:p>
        </w:tc>
        <w:tc>
          <w:tcPr>
            <w:tcW w:w="0" w:type="auto"/>
            <w:shd w:val="clear" w:color="auto" w:fill="auto"/>
            <w:noWrap/>
            <w:vAlign w:val="center"/>
          </w:tcPr>
          <w:p w14:paraId="0178D675" w14:textId="26D195AF"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90.4%</w:t>
            </w:r>
          </w:p>
        </w:tc>
        <w:tc>
          <w:tcPr>
            <w:tcW w:w="0" w:type="auto"/>
            <w:shd w:val="clear" w:color="auto" w:fill="auto"/>
            <w:noWrap/>
            <w:vAlign w:val="center"/>
          </w:tcPr>
          <w:p w14:paraId="13C7F33D"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395,930</w:t>
            </w:r>
          </w:p>
        </w:tc>
        <w:tc>
          <w:tcPr>
            <w:tcW w:w="0" w:type="auto"/>
            <w:vAlign w:val="center"/>
          </w:tcPr>
          <w:p w14:paraId="78CB2F7E"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89.9%</w:t>
            </w:r>
          </w:p>
        </w:tc>
        <w:tc>
          <w:tcPr>
            <w:tcW w:w="0" w:type="auto"/>
            <w:vAlign w:val="center"/>
          </w:tcPr>
          <w:p w14:paraId="25E9F34B"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color w:val="000000"/>
                <w:sz w:val="18"/>
                <w:szCs w:val="18"/>
              </w:rPr>
              <w:t>449,140</w:t>
            </w:r>
          </w:p>
        </w:tc>
        <w:tc>
          <w:tcPr>
            <w:tcW w:w="0" w:type="auto"/>
            <w:shd w:val="clear" w:color="auto" w:fill="auto"/>
            <w:noWrap/>
            <w:vAlign w:val="center"/>
          </w:tcPr>
          <w:p w14:paraId="1B273F84" w14:textId="0B230A9E"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color w:val="000000"/>
                <w:sz w:val="18"/>
                <w:szCs w:val="18"/>
              </w:rPr>
              <w:t>89.</w:t>
            </w:r>
            <w:r w:rsidR="004C65B6" w:rsidRPr="009718E4">
              <w:rPr>
                <w:rFonts w:asciiTheme="minorHAnsi" w:hAnsiTheme="minorHAnsi"/>
                <w:i/>
                <w:iCs/>
                <w:color w:val="000000"/>
                <w:sz w:val="18"/>
                <w:szCs w:val="18"/>
              </w:rPr>
              <w:t>8</w:t>
            </w:r>
            <w:r w:rsidRPr="009718E4">
              <w:rPr>
                <w:rFonts w:asciiTheme="minorHAnsi" w:hAnsiTheme="minorHAnsi"/>
                <w:i/>
                <w:iCs/>
                <w:color w:val="000000"/>
                <w:sz w:val="18"/>
                <w:szCs w:val="18"/>
              </w:rPr>
              <w:t>%</w:t>
            </w:r>
          </w:p>
        </w:tc>
        <w:tc>
          <w:tcPr>
            <w:tcW w:w="0" w:type="auto"/>
            <w:vAlign w:val="center"/>
          </w:tcPr>
          <w:p w14:paraId="4BBC786E" w14:textId="77777777" w:rsidR="002226FA" w:rsidRPr="009718E4" w:rsidRDefault="002226FA" w:rsidP="0016304F">
            <w:pPr>
              <w:spacing w:after="0"/>
              <w:jc w:val="right"/>
              <w:rPr>
                <w:rFonts w:asciiTheme="minorHAnsi" w:hAnsiTheme="minorHAnsi"/>
                <w:sz w:val="18"/>
                <w:szCs w:val="18"/>
              </w:rPr>
            </w:pPr>
            <w:r w:rsidRPr="009718E4">
              <w:rPr>
                <w:rFonts w:asciiTheme="minorHAnsi" w:hAnsiTheme="minorHAnsi"/>
                <w:color w:val="000000"/>
                <w:sz w:val="18"/>
                <w:szCs w:val="18"/>
              </w:rPr>
              <w:t>443,380</w:t>
            </w:r>
          </w:p>
        </w:tc>
        <w:tc>
          <w:tcPr>
            <w:tcW w:w="0" w:type="auto"/>
            <w:vAlign w:val="center"/>
          </w:tcPr>
          <w:p w14:paraId="1864E6C2" w14:textId="070D5895" w:rsidR="002226FA" w:rsidRPr="009718E4" w:rsidRDefault="002226FA" w:rsidP="0016304F">
            <w:pPr>
              <w:spacing w:after="0"/>
              <w:jc w:val="right"/>
              <w:rPr>
                <w:rFonts w:asciiTheme="minorHAnsi" w:hAnsiTheme="minorHAnsi"/>
                <w:sz w:val="18"/>
                <w:szCs w:val="18"/>
              </w:rPr>
            </w:pPr>
            <w:r w:rsidRPr="009718E4">
              <w:rPr>
                <w:rFonts w:asciiTheme="minorHAnsi" w:hAnsiTheme="minorHAnsi"/>
                <w:i/>
                <w:iCs/>
                <w:color w:val="000000"/>
                <w:sz w:val="18"/>
                <w:szCs w:val="18"/>
              </w:rPr>
              <w:t>88.0%</w:t>
            </w:r>
          </w:p>
        </w:tc>
        <w:tc>
          <w:tcPr>
            <w:tcW w:w="0" w:type="auto"/>
            <w:vAlign w:val="center"/>
          </w:tcPr>
          <w:p w14:paraId="5FF3EBDC" w14:textId="11B76AC7" w:rsidR="002226FA" w:rsidRPr="009718E4" w:rsidRDefault="002226FA" w:rsidP="0016304F">
            <w:pPr>
              <w:spacing w:after="0"/>
              <w:jc w:val="right"/>
              <w:rPr>
                <w:rFonts w:asciiTheme="minorHAnsi" w:hAnsiTheme="minorHAnsi"/>
                <w:color w:val="000000"/>
                <w:sz w:val="18"/>
                <w:szCs w:val="18"/>
              </w:rPr>
            </w:pPr>
            <w:r w:rsidRPr="009718E4">
              <w:rPr>
                <w:rFonts w:asciiTheme="minorHAnsi" w:hAnsiTheme="minorHAnsi"/>
                <w:color w:val="000000"/>
                <w:sz w:val="18"/>
                <w:szCs w:val="18"/>
              </w:rPr>
              <w:t>434,050</w:t>
            </w:r>
          </w:p>
        </w:tc>
        <w:tc>
          <w:tcPr>
            <w:tcW w:w="0" w:type="auto"/>
            <w:vAlign w:val="center"/>
          </w:tcPr>
          <w:p w14:paraId="4DA2244B" w14:textId="42FC26A2" w:rsidR="002226FA" w:rsidRPr="009718E4" w:rsidRDefault="002226FA" w:rsidP="0016304F">
            <w:pPr>
              <w:spacing w:after="0"/>
              <w:jc w:val="right"/>
              <w:rPr>
                <w:rFonts w:asciiTheme="minorHAnsi" w:hAnsiTheme="minorHAnsi"/>
                <w:i/>
                <w:iCs/>
                <w:color w:val="000000"/>
                <w:sz w:val="18"/>
                <w:szCs w:val="18"/>
              </w:rPr>
            </w:pPr>
            <w:r w:rsidRPr="009718E4">
              <w:rPr>
                <w:rFonts w:asciiTheme="minorHAnsi" w:hAnsiTheme="minorHAnsi"/>
                <w:i/>
                <w:iCs/>
                <w:color w:val="000000"/>
                <w:sz w:val="18"/>
                <w:szCs w:val="18"/>
              </w:rPr>
              <w:t>88.3%</w:t>
            </w:r>
          </w:p>
        </w:tc>
      </w:tr>
      <w:tr w:rsidR="004C65B6" w:rsidRPr="004C65B6" w14:paraId="0575CFE2" w14:textId="60571FEB" w:rsidTr="009718E4">
        <w:trPr>
          <w:cantSplit/>
          <w:trHeight w:val="674"/>
        </w:trPr>
        <w:tc>
          <w:tcPr>
            <w:tcW w:w="0" w:type="auto"/>
            <w:shd w:val="clear" w:color="auto" w:fill="auto"/>
            <w:vAlign w:val="center"/>
          </w:tcPr>
          <w:p w14:paraId="6FBBBA1B" w14:textId="77777777" w:rsidR="002226FA" w:rsidRPr="009718E4" w:rsidRDefault="002226FA" w:rsidP="0016304F">
            <w:pPr>
              <w:keepNext/>
              <w:spacing w:after="0"/>
              <w:rPr>
                <w:rFonts w:asciiTheme="minorHAnsi" w:hAnsiTheme="minorHAnsi"/>
                <w:b/>
                <w:bCs/>
                <w:sz w:val="18"/>
                <w:szCs w:val="18"/>
                <w:lang w:eastAsia="en-GB"/>
              </w:rPr>
            </w:pPr>
            <w:r w:rsidRPr="009718E4">
              <w:rPr>
                <w:rFonts w:asciiTheme="minorHAnsi" w:hAnsiTheme="minorHAnsi"/>
                <w:b/>
                <w:bCs/>
                <w:sz w:val="18"/>
                <w:szCs w:val="18"/>
              </w:rPr>
              <w:t>Not Known</w:t>
            </w:r>
          </w:p>
        </w:tc>
        <w:tc>
          <w:tcPr>
            <w:tcW w:w="0" w:type="auto"/>
            <w:shd w:val="clear" w:color="auto" w:fill="auto"/>
            <w:noWrap/>
            <w:vAlign w:val="center"/>
          </w:tcPr>
          <w:p w14:paraId="0FDF959F"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6,210</w:t>
            </w:r>
          </w:p>
        </w:tc>
        <w:tc>
          <w:tcPr>
            <w:tcW w:w="0" w:type="auto"/>
            <w:shd w:val="clear" w:color="auto" w:fill="auto"/>
            <w:noWrap/>
            <w:vAlign w:val="center"/>
          </w:tcPr>
          <w:p w14:paraId="0F7BB953" w14:textId="51682C9F"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1.2%</w:t>
            </w:r>
          </w:p>
        </w:tc>
        <w:tc>
          <w:tcPr>
            <w:tcW w:w="0" w:type="auto"/>
            <w:shd w:val="clear" w:color="auto" w:fill="auto"/>
            <w:noWrap/>
            <w:vAlign w:val="center"/>
          </w:tcPr>
          <w:p w14:paraId="18816059" w14:textId="77777777" w:rsidR="002226FA" w:rsidRPr="009718E4" w:rsidRDefault="002226FA" w:rsidP="0016304F">
            <w:pPr>
              <w:keepNext/>
              <w:spacing w:after="0"/>
              <w:jc w:val="right"/>
              <w:rPr>
                <w:rFonts w:asciiTheme="minorHAnsi" w:hAnsiTheme="minorHAnsi"/>
                <w:sz w:val="18"/>
                <w:szCs w:val="18"/>
                <w:lang w:eastAsia="en-GB"/>
              </w:rPr>
            </w:pPr>
            <w:r w:rsidRPr="009718E4">
              <w:rPr>
                <w:rFonts w:asciiTheme="minorHAnsi" w:hAnsiTheme="minorHAnsi"/>
                <w:sz w:val="18"/>
                <w:szCs w:val="18"/>
              </w:rPr>
              <w:t>6,340</w:t>
            </w:r>
          </w:p>
        </w:tc>
        <w:tc>
          <w:tcPr>
            <w:tcW w:w="0" w:type="auto"/>
            <w:vAlign w:val="center"/>
          </w:tcPr>
          <w:p w14:paraId="3659FCD7" w14:textId="2484A5A2"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1.4%</w:t>
            </w:r>
          </w:p>
        </w:tc>
        <w:tc>
          <w:tcPr>
            <w:tcW w:w="0" w:type="auto"/>
            <w:vAlign w:val="center"/>
          </w:tcPr>
          <w:p w14:paraId="35459B06"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color w:val="000000"/>
                <w:sz w:val="18"/>
                <w:szCs w:val="18"/>
              </w:rPr>
              <w:t>6,670</w:t>
            </w:r>
          </w:p>
        </w:tc>
        <w:tc>
          <w:tcPr>
            <w:tcW w:w="0" w:type="auto"/>
            <w:shd w:val="clear" w:color="auto" w:fill="auto"/>
            <w:noWrap/>
            <w:vAlign w:val="center"/>
          </w:tcPr>
          <w:p w14:paraId="4A5903A1" w14:textId="0FD2F17A"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color w:val="000000"/>
                <w:sz w:val="18"/>
                <w:szCs w:val="18"/>
              </w:rPr>
              <w:t>1.3%</w:t>
            </w:r>
          </w:p>
        </w:tc>
        <w:tc>
          <w:tcPr>
            <w:tcW w:w="0" w:type="auto"/>
            <w:vAlign w:val="center"/>
          </w:tcPr>
          <w:p w14:paraId="53ED1825" w14:textId="77777777" w:rsidR="002226FA" w:rsidRPr="009718E4" w:rsidRDefault="002226FA" w:rsidP="0016304F">
            <w:pPr>
              <w:spacing w:after="0"/>
              <w:jc w:val="right"/>
              <w:rPr>
                <w:rFonts w:asciiTheme="minorHAnsi" w:hAnsiTheme="minorHAnsi"/>
                <w:sz w:val="18"/>
                <w:szCs w:val="18"/>
              </w:rPr>
            </w:pPr>
            <w:r w:rsidRPr="009718E4">
              <w:rPr>
                <w:rFonts w:asciiTheme="minorHAnsi" w:hAnsiTheme="minorHAnsi"/>
                <w:color w:val="000000"/>
                <w:sz w:val="18"/>
                <w:szCs w:val="18"/>
              </w:rPr>
              <w:t>10,240</w:t>
            </w:r>
          </w:p>
        </w:tc>
        <w:tc>
          <w:tcPr>
            <w:tcW w:w="0" w:type="auto"/>
            <w:vAlign w:val="center"/>
          </w:tcPr>
          <w:p w14:paraId="49C4296B" w14:textId="2A867C96" w:rsidR="002226FA" w:rsidRPr="009718E4" w:rsidRDefault="002226FA" w:rsidP="0016304F">
            <w:pPr>
              <w:spacing w:after="0"/>
              <w:jc w:val="right"/>
              <w:rPr>
                <w:rFonts w:asciiTheme="minorHAnsi" w:hAnsiTheme="minorHAnsi"/>
                <w:sz w:val="18"/>
                <w:szCs w:val="18"/>
              </w:rPr>
            </w:pPr>
            <w:r w:rsidRPr="009718E4">
              <w:rPr>
                <w:rFonts w:asciiTheme="minorHAnsi" w:hAnsiTheme="minorHAnsi"/>
                <w:i/>
                <w:iCs/>
                <w:color w:val="000000"/>
                <w:sz w:val="18"/>
                <w:szCs w:val="18"/>
              </w:rPr>
              <w:t>2.0%</w:t>
            </w:r>
          </w:p>
        </w:tc>
        <w:tc>
          <w:tcPr>
            <w:tcW w:w="0" w:type="auto"/>
            <w:vAlign w:val="center"/>
          </w:tcPr>
          <w:p w14:paraId="08D46F22" w14:textId="448817A7" w:rsidR="002226FA" w:rsidRPr="009718E4" w:rsidRDefault="002226FA" w:rsidP="0016304F">
            <w:pPr>
              <w:spacing w:after="0"/>
              <w:jc w:val="right"/>
              <w:rPr>
                <w:rFonts w:asciiTheme="minorHAnsi" w:hAnsiTheme="minorHAnsi"/>
                <w:color w:val="000000"/>
                <w:sz w:val="18"/>
                <w:szCs w:val="18"/>
              </w:rPr>
            </w:pPr>
            <w:r w:rsidRPr="009718E4">
              <w:rPr>
                <w:rFonts w:asciiTheme="minorHAnsi" w:hAnsiTheme="minorHAnsi"/>
                <w:color w:val="000000"/>
                <w:sz w:val="18"/>
                <w:szCs w:val="18"/>
              </w:rPr>
              <w:t>6,820</w:t>
            </w:r>
          </w:p>
        </w:tc>
        <w:tc>
          <w:tcPr>
            <w:tcW w:w="0" w:type="auto"/>
            <w:vAlign w:val="center"/>
          </w:tcPr>
          <w:p w14:paraId="09706FF0" w14:textId="5E62FBF4" w:rsidR="002226FA" w:rsidRPr="009718E4" w:rsidRDefault="002226FA" w:rsidP="0016304F">
            <w:pPr>
              <w:spacing w:after="0"/>
              <w:jc w:val="right"/>
              <w:rPr>
                <w:rFonts w:asciiTheme="minorHAnsi" w:hAnsiTheme="minorHAnsi"/>
                <w:i/>
                <w:iCs/>
                <w:color w:val="000000"/>
                <w:sz w:val="18"/>
                <w:szCs w:val="18"/>
              </w:rPr>
            </w:pPr>
            <w:r w:rsidRPr="009718E4">
              <w:rPr>
                <w:rFonts w:asciiTheme="minorHAnsi" w:hAnsiTheme="minorHAnsi"/>
                <w:i/>
                <w:iCs/>
                <w:color w:val="000000"/>
                <w:sz w:val="18"/>
                <w:szCs w:val="18"/>
              </w:rPr>
              <w:t>1.4%</w:t>
            </w:r>
          </w:p>
        </w:tc>
      </w:tr>
      <w:tr w:rsidR="004C65B6" w:rsidRPr="004C65B6" w14:paraId="090BA80E" w14:textId="3982FD70" w:rsidTr="009718E4">
        <w:trPr>
          <w:cantSplit/>
          <w:trHeight w:val="674"/>
        </w:trPr>
        <w:tc>
          <w:tcPr>
            <w:tcW w:w="0" w:type="auto"/>
            <w:shd w:val="clear" w:color="auto" w:fill="auto"/>
            <w:vAlign w:val="center"/>
          </w:tcPr>
          <w:p w14:paraId="13B4B4B2" w14:textId="77777777" w:rsidR="002226FA" w:rsidRPr="009718E4" w:rsidRDefault="002226FA" w:rsidP="0016304F">
            <w:pPr>
              <w:keepNext/>
              <w:spacing w:after="0"/>
              <w:rPr>
                <w:rFonts w:asciiTheme="minorHAnsi" w:hAnsiTheme="minorHAnsi"/>
                <w:b/>
                <w:i/>
                <w:iCs/>
                <w:sz w:val="18"/>
                <w:szCs w:val="18"/>
                <w:lang w:eastAsia="en-GB"/>
              </w:rPr>
            </w:pPr>
            <w:r w:rsidRPr="009718E4">
              <w:rPr>
                <w:rFonts w:asciiTheme="minorHAnsi" w:hAnsiTheme="minorHAnsi"/>
                <w:b/>
                <w:i/>
                <w:iCs/>
                <w:sz w:val="18"/>
                <w:szCs w:val="18"/>
              </w:rPr>
              <w:t>Total</w:t>
            </w:r>
          </w:p>
        </w:tc>
        <w:tc>
          <w:tcPr>
            <w:tcW w:w="0" w:type="auto"/>
            <w:shd w:val="clear" w:color="auto" w:fill="auto"/>
            <w:noWrap/>
            <w:vAlign w:val="center"/>
          </w:tcPr>
          <w:p w14:paraId="1684CEDB"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sz w:val="18"/>
                <w:szCs w:val="18"/>
              </w:rPr>
              <w:t>510,200</w:t>
            </w:r>
          </w:p>
        </w:tc>
        <w:tc>
          <w:tcPr>
            <w:tcW w:w="0" w:type="auto"/>
            <w:shd w:val="clear" w:color="auto" w:fill="auto"/>
            <w:noWrap/>
            <w:vAlign w:val="center"/>
          </w:tcPr>
          <w:p w14:paraId="00007843" w14:textId="7064BEBA"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100%</w:t>
            </w:r>
          </w:p>
        </w:tc>
        <w:tc>
          <w:tcPr>
            <w:tcW w:w="0" w:type="auto"/>
            <w:shd w:val="clear" w:color="auto" w:fill="auto"/>
            <w:noWrap/>
            <w:vAlign w:val="center"/>
          </w:tcPr>
          <w:p w14:paraId="2D124781"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sz w:val="18"/>
                <w:szCs w:val="18"/>
              </w:rPr>
              <w:t>440,400</w:t>
            </w:r>
          </w:p>
        </w:tc>
        <w:tc>
          <w:tcPr>
            <w:tcW w:w="0" w:type="auto"/>
            <w:vAlign w:val="center"/>
          </w:tcPr>
          <w:p w14:paraId="314DFD4D" w14:textId="63F5CE2B"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sz w:val="18"/>
                <w:szCs w:val="18"/>
              </w:rPr>
              <w:t>100%</w:t>
            </w:r>
          </w:p>
        </w:tc>
        <w:tc>
          <w:tcPr>
            <w:tcW w:w="0" w:type="auto"/>
            <w:vAlign w:val="center"/>
          </w:tcPr>
          <w:p w14:paraId="17FB47A5"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color w:val="000000"/>
                <w:sz w:val="18"/>
                <w:szCs w:val="18"/>
              </w:rPr>
              <w:t>499,900</w:t>
            </w:r>
          </w:p>
        </w:tc>
        <w:tc>
          <w:tcPr>
            <w:tcW w:w="0" w:type="auto"/>
            <w:shd w:val="clear" w:color="auto" w:fill="auto"/>
            <w:noWrap/>
            <w:vAlign w:val="center"/>
          </w:tcPr>
          <w:p w14:paraId="1DF84229" w14:textId="67F33756"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color w:val="000000"/>
                <w:sz w:val="18"/>
                <w:szCs w:val="18"/>
              </w:rPr>
              <w:t>100%</w:t>
            </w:r>
          </w:p>
        </w:tc>
        <w:tc>
          <w:tcPr>
            <w:tcW w:w="0" w:type="auto"/>
            <w:vAlign w:val="center"/>
          </w:tcPr>
          <w:p w14:paraId="580EE1BB" w14:textId="77777777"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color w:val="000000"/>
                <w:sz w:val="18"/>
                <w:szCs w:val="18"/>
              </w:rPr>
              <w:t>503,700</w:t>
            </w:r>
          </w:p>
        </w:tc>
        <w:tc>
          <w:tcPr>
            <w:tcW w:w="0" w:type="auto"/>
            <w:vAlign w:val="center"/>
          </w:tcPr>
          <w:p w14:paraId="4DF69DAC" w14:textId="789ED7C6" w:rsidR="002226FA" w:rsidRPr="009718E4" w:rsidRDefault="002226FA" w:rsidP="0016304F">
            <w:pPr>
              <w:keepNext/>
              <w:spacing w:after="0"/>
              <w:jc w:val="right"/>
              <w:rPr>
                <w:rFonts w:asciiTheme="minorHAnsi" w:hAnsiTheme="minorHAnsi"/>
                <w:i/>
                <w:iCs/>
                <w:sz w:val="18"/>
                <w:szCs w:val="18"/>
                <w:lang w:eastAsia="en-GB"/>
              </w:rPr>
            </w:pPr>
            <w:r w:rsidRPr="009718E4">
              <w:rPr>
                <w:rFonts w:asciiTheme="minorHAnsi" w:hAnsiTheme="minorHAnsi"/>
                <w:i/>
                <w:iCs/>
                <w:color w:val="000000"/>
                <w:sz w:val="18"/>
                <w:szCs w:val="18"/>
              </w:rPr>
              <w:t>100%</w:t>
            </w:r>
          </w:p>
        </w:tc>
        <w:tc>
          <w:tcPr>
            <w:tcW w:w="0" w:type="auto"/>
            <w:vAlign w:val="center"/>
          </w:tcPr>
          <w:p w14:paraId="2D971941" w14:textId="340046D2" w:rsidR="002226FA" w:rsidRPr="009718E4" w:rsidRDefault="002226FA" w:rsidP="0016304F">
            <w:pPr>
              <w:spacing w:after="0"/>
              <w:jc w:val="right"/>
              <w:rPr>
                <w:rFonts w:asciiTheme="minorHAnsi" w:hAnsiTheme="minorHAnsi"/>
                <w:color w:val="000000"/>
                <w:sz w:val="18"/>
                <w:szCs w:val="18"/>
              </w:rPr>
            </w:pPr>
            <w:r w:rsidRPr="009718E4">
              <w:rPr>
                <w:rFonts w:asciiTheme="minorHAnsi" w:hAnsiTheme="minorHAnsi"/>
                <w:color w:val="000000"/>
                <w:sz w:val="18"/>
                <w:szCs w:val="18"/>
              </w:rPr>
              <w:t>491,300</w:t>
            </w:r>
          </w:p>
        </w:tc>
        <w:tc>
          <w:tcPr>
            <w:tcW w:w="0" w:type="auto"/>
            <w:vAlign w:val="center"/>
          </w:tcPr>
          <w:p w14:paraId="714194D1" w14:textId="4E5BD701" w:rsidR="002226FA" w:rsidRPr="009718E4" w:rsidRDefault="002226FA" w:rsidP="0016304F">
            <w:pPr>
              <w:spacing w:after="0"/>
              <w:jc w:val="right"/>
              <w:rPr>
                <w:rFonts w:asciiTheme="minorHAnsi" w:hAnsiTheme="minorHAnsi"/>
                <w:i/>
                <w:iCs/>
                <w:color w:val="000000"/>
                <w:sz w:val="18"/>
                <w:szCs w:val="18"/>
              </w:rPr>
            </w:pPr>
            <w:r w:rsidRPr="009718E4">
              <w:rPr>
                <w:rFonts w:asciiTheme="minorHAnsi" w:hAnsiTheme="minorHAnsi"/>
                <w:i/>
                <w:iCs/>
                <w:color w:val="000000"/>
                <w:sz w:val="18"/>
                <w:szCs w:val="18"/>
              </w:rPr>
              <w:t>100%</w:t>
            </w:r>
          </w:p>
        </w:tc>
      </w:tr>
    </w:tbl>
    <w:p w14:paraId="770F8DFE" w14:textId="1D99B441" w:rsidR="00E865E3" w:rsidRDefault="00AD784C" w:rsidP="0016304F">
      <w:pPr>
        <w:spacing w:after="0"/>
        <w:rPr>
          <w:i/>
          <w:iCs/>
          <w:sz w:val="20"/>
          <w:szCs w:val="20"/>
          <w:lang w:eastAsia="en-GB"/>
        </w:rPr>
      </w:pPr>
      <w:r w:rsidRPr="00286B5C">
        <w:rPr>
          <w:i/>
          <w:iCs/>
          <w:sz w:val="20"/>
          <w:szCs w:val="20"/>
          <w:lang w:eastAsia="en-GB"/>
        </w:rPr>
        <w:t>Source: Skills Funding Agency and Department for Business, Innovation &amp; Skills</w:t>
      </w:r>
      <w:r w:rsidR="002226FA">
        <w:rPr>
          <w:i/>
          <w:iCs/>
          <w:sz w:val="20"/>
          <w:szCs w:val="20"/>
          <w:lang w:eastAsia="en-GB"/>
        </w:rPr>
        <w:t xml:space="preserve"> (</w:t>
      </w:r>
      <w:r w:rsidR="00E865E3" w:rsidRPr="00E865E3">
        <w:rPr>
          <w:i/>
          <w:iCs/>
          <w:sz w:val="20"/>
          <w:szCs w:val="20"/>
          <w:lang w:eastAsia="en-GB"/>
        </w:rPr>
        <w:t>Apprenticeships demographics data tool</w:t>
      </w:r>
      <w:r w:rsidR="00E865E3">
        <w:rPr>
          <w:i/>
          <w:iCs/>
          <w:sz w:val="20"/>
          <w:szCs w:val="20"/>
          <w:lang w:eastAsia="en-GB"/>
        </w:rPr>
        <w:t>)</w:t>
      </w:r>
    </w:p>
    <w:p w14:paraId="0B1EC43A" w14:textId="3CD75DB3" w:rsidR="004C65B6" w:rsidRDefault="004C65B6" w:rsidP="0016304F">
      <w:pPr>
        <w:spacing w:after="0"/>
        <w:jc w:val="center"/>
        <w:rPr>
          <w:i/>
          <w:iCs/>
          <w:sz w:val="20"/>
          <w:szCs w:val="20"/>
          <w:lang w:eastAsia="en-GB"/>
        </w:rPr>
      </w:pPr>
      <w:r>
        <w:rPr>
          <w:noProof/>
          <w:lang w:eastAsia="en-GB"/>
        </w:rPr>
        <w:drawing>
          <wp:inline distT="0" distB="0" distL="0" distR="0" wp14:anchorId="2D327AAA" wp14:editId="60C697D9">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1EE0723" w14:textId="77777777" w:rsidR="005E5CC3" w:rsidRPr="0077606A" w:rsidRDefault="005E5CC3" w:rsidP="0016304F">
      <w:pPr>
        <w:spacing w:after="0"/>
      </w:pPr>
    </w:p>
    <w:p w14:paraId="2C55748E" w14:textId="77EBE65D" w:rsidR="00E951B1" w:rsidRPr="009718E4" w:rsidRDefault="00E951B1" w:rsidP="0016304F">
      <w:pPr>
        <w:keepNext/>
        <w:spacing w:after="0"/>
        <w:rPr>
          <w:b/>
          <w:bCs/>
          <w:i/>
          <w:iCs/>
        </w:rPr>
      </w:pPr>
      <w:r w:rsidRPr="009718E4">
        <w:rPr>
          <w:b/>
          <w:bCs/>
          <w:i/>
          <w:iCs/>
        </w:rPr>
        <w:t>Disabled Students Allowance</w:t>
      </w:r>
    </w:p>
    <w:p w14:paraId="61224219" w14:textId="35A1A741" w:rsidR="00784539" w:rsidRDefault="00784539" w:rsidP="0016304F">
      <w:pPr>
        <w:spacing w:after="0"/>
      </w:pPr>
      <w:r>
        <w:t>Support for disabled students in tertiary education is primarily the responsibility of universities and colleges, who provide practical and academic support</w:t>
      </w:r>
      <w:r w:rsidR="002E14FB">
        <w:t>.</w:t>
      </w:r>
      <w:r w:rsidR="002E14FB" w:rsidRPr="002E14FB">
        <w:t xml:space="preserve"> </w:t>
      </w:r>
      <w:r w:rsidR="002E14FB">
        <w:t xml:space="preserve">Funding support is provided from </w:t>
      </w:r>
      <w:r>
        <w:t>central government.</w:t>
      </w:r>
      <w:r w:rsidR="002E14FB">
        <w:t xml:space="preserve"> This amounted to £40m in England in </w:t>
      </w:r>
      <w:r w:rsidR="002E14FB">
        <w:lastRenderedPageBreak/>
        <w:t>2017-18 which was doubled from the previous year as a form of transitional support.</w:t>
      </w:r>
      <w:r w:rsidR="002E14FB">
        <w:rPr>
          <w:rStyle w:val="FootnoteReference"/>
        </w:rPr>
        <w:footnoteReference w:id="85"/>
      </w:r>
      <w:r w:rsidR="002E14FB">
        <w:t xml:space="preserve"> The government also provides non-binding guidance on developing inclusive teaching and learning methods.</w:t>
      </w:r>
      <w:r w:rsidR="002E14FB">
        <w:rPr>
          <w:rStyle w:val="FootnoteReference"/>
        </w:rPr>
        <w:footnoteReference w:id="86"/>
      </w:r>
      <w:r w:rsidR="002E14FB">
        <w:t xml:space="preserve"> </w:t>
      </w:r>
    </w:p>
    <w:p w14:paraId="7A4E91F2" w14:textId="77777777" w:rsidR="00784539" w:rsidRDefault="00784539" w:rsidP="0016304F">
      <w:pPr>
        <w:spacing w:after="0"/>
      </w:pPr>
    </w:p>
    <w:p w14:paraId="544AB050" w14:textId="1BD8B7EE" w:rsidR="00ED7FAA" w:rsidRDefault="002E14FB" w:rsidP="0016304F">
      <w:pPr>
        <w:spacing w:after="0"/>
      </w:pPr>
      <w:r>
        <w:t xml:space="preserve">The main mechanism for funding individual support has been </w:t>
      </w:r>
      <w:r w:rsidR="001C386F" w:rsidRPr="0077606A">
        <w:t xml:space="preserve">Disabled Students Allowance </w:t>
      </w:r>
      <w:r w:rsidR="00D851FB" w:rsidRPr="0077606A">
        <w:t>(DSA)</w:t>
      </w:r>
      <w:r>
        <w:t>.</w:t>
      </w:r>
      <w:r>
        <w:rPr>
          <w:rStyle w:val="FootnoteReference"/>
        </w:rPr>
        <w:footnoteReference w:id="87"/>
      </w:r>
      <w:r>
        <w:t xml:space="preserve"> </w:t>
      </w:r>
      <w:r w:rsidR="00ED7FAA" w:rsidRPr="0077606A">
        <w:t>DSA was introduced in 1974 and updated in 1990. It funds equipment, non-medical help and a general allowance. According to the Higher Education Statistics Agency, 6.8% of full-time undergraduate students were in receipt of DSA in 2013-14 (81,455), up from 6.5% (77,260) in the previous year, and 3.4% of part-time undergraduates (6,665), down from 3.5% (7,205). This represents a substantial historic increase from 2.5% and 1.3% in 2002-3, respectively.</w:t>
      </w:r>
      <w:r w:rsidR="00ED7FAA" w:rsidRPr="0077606A">
        <w:rPr>
          <w:vertAlign w:val="superscript"/>
        </w:rPr>
        <w:t xml:space="preserve"> </w:t>
      </w:r>
      <w:r w:rsidR="00ED7FAA" w:rsidRPr="0077606A">
        <w:t>The proportion is higher in England and Wales than in Scotland and Northern Ireland and it varies widely between different colleges - from 1.2% to 31.1% of full-time first degree students.</w:t>
      </w:r>
      <w:r w:rsidR="00ED7FAA" w:rsidRPr="0077606A">
        <w:rPr>
          <w:vertAlign w:val="superscript"/>
        </w:rPr>
        <w:footnoteReference w:id="88"/>
      </w:r>
      <w:r w:rsidR="00ED7FAA" w:rsidRPr="0077606A">
        <w:t xml:space="preserve"> Almost half are assessed as a having a ‘specific learning difficulty’ (mainly dyslexia). </w:t>
      </w:r>
    </w:p>
    <w:p w14:paraId="5FC3BCB3" w14:textId="77777777" w:rsidR="00ED7FAA" w:rsidRDefault="00ED7FAA" w:rsidP="0016304F">
      <w:pPr>
        <w:spacing w:after="0"/>
      </w:pPr>
    </w:p>
    <w:p w14:paraId="1771EF29" w14:textId="5A746814" w:rsidR="00FE7CD3" w:rsidRDefault="002E14FB" w:rsidP="0016304F">
      <w:pPr>
        <w:spacing w:after="0"/>
      </w:pPr>
      <w:r>
        <w:t xml:space="preserve">Changes to DSA </w:t>
      </w:r>
      <w:r w:rsidR="00B66A2F" w:rsidRPr="0077606A">
        <w:t xml:space="preserve">in England </w:t>
      </w:r>
      <w:r w:rsidR="00FE7CD3" w:rsidRPr="0077606A">
        <w:t>were</w:t>
      </w:r>
      <w:r w:rsidR="001C386F" w:rsidRPr="0077606A">
        <w:t xml:space="preserve"> planned for 2015</w:t>
      </w:r>
      <w:r w:rsidR="00B66A2F" w:rsidRPr="0077606A">
        <w:t>,</w:t>
      </w:r>
      <w:r w:rsidR="001C386F" w:rsidRPr="0077606A">
        <w:rPr>
          <w:vertAlign w:val="superscript"/>
        </w:rPr>
        <w:footnoteReference w:id="89"/>
      </w:r>
      <w:r w:rsidR="001C386F" w:rsidRPr="0077606A">
        <w:t xml:space="preserve"> limiting government </w:t>
      </w:r>
      <w:r w:rsidR="00FE7CD3" w:rsidRPr="0077606A">
        <w:t>support</w:t>
      </w:r>
      <w:r w:rsidR="001C386F" w:rsidRPr="0077606A">
        <w:t xml:space="preserve"> to ‘higher specification or higher cost computers’ </w:t>
      </w:r>
      <w:r w:rsidR="00FE7CD3" w:rsidRPr="0077606A">
        <w:t>or</w:t>
      </w:r>
      <w:r w:rsidR="001C386F" w:rsidRPr="0077606A">
        <w:t xml:space="preserve"> ‘the most specialist Non-Medical Help’, and no longer meeting the costs of specialist/adapted student living accommodation. </w:t>
      </w:r>
      <w:r w:rsidR="000B6164" w:rsidRPr="0077606A">
        <w:t>These p</w:t>
      </w:r>
      <w:r w:rsidR="00B66A2F" w:rsidRPr="0077606A">
        <w:t>olicy changes affect</w:t>
      </w:r>
      <w:r w:rsidR="00E951B1">
        <w:t>ing</w:t>
      </w:r>
      <w:r w:rsidR="00B66A2F" w:rsidRPr="0077606A">
        <w:t xml:space="preserve"> around 80% of students </w:t>
      </w:r>
      <w:r w:rsidR="00FE7CD3" w:rsidRPr="0077606A">
        <w:t xml:space="preserve">were </w:t>
      </w:r>
      <w:r w:rsidR="00766E22" w:rsidRPr="0077606A">
        <w:t xml:space="preserve">postponed until 2016-17 after </w:t>
      </w:r>
      <w:r w:rsidR="001C386F" w:rsidRPr="0077606A">
        <w:t>concerns raised in consultation with students and universities.</w:t>
      </w:r>
      <w:r w:rsidR="001C386F" w:rsidRPr="0077606A">
        <w:rPr>
          <w:vertAlign w:val="superscript"/>
        </w:rPr>
        <w:footnoteReference w:id="90"/>
      </w:r>
      <w:r w:rsidR="00C648C3" w:rsidRPr="0077606A">
        <w:t xml:space="preserve"> </w:t>
      </w:r>
      <w:r w:rsidR="00C5304F">
        <w:t>C</w:t>
      </w:r>
      <w:r w:rsidR="00C648C3" w:rsidRPr="0077606A">
        <w:t xml:space="preserve">onsultation </w:t>
      </w:r>
      <w:r w:rsidR="00C5304F">
        <w:t xml:space="preserve">in </w:t>
      </w:r>
      <w:r w:rsidR="00C648C3" w:rsidRPr="0077606A">
        <w:t xml:space="preserve">2015 </w:t>
      </w:r>
      <w:r w:rsidR="00766E22" w:rsidRPr="0077606A">
        <w:t>repeat</w:t>
      </w:r>
      <w:r w:rsidR="00C5304F">
        <w:t>ed</w:t>
      </w:r>
      <w:r w:rsidR="00C648C3" w:rsidRPr="0077606A">
        <w:t xml:space="preserve"> the </w:t>
      </w:r>
      <w:r w:rsidR="00C5304F">
        <w:t xml:space="preserve">aim </w:t>
      </w:r>
      <w:r w:rsidR="00C648C3" w:rsidRPr="0077606A">
        <w:t xml:space="preserve">to place </w:t>
      </w:r>
      <w:r w:rsidR="00766E22" w:rsidRPr="0077606A">
        <w:t>more</w:t>
      </w:r>
      <w:r w:rsidR="00C648C3" w:rsidRPr="0077606A">
        <w:t xml:space="preserve"> responsibility on higher education institutions </w:t>
      </w:r>
      <w:r w:rsidR="000B6164" w:rsidRPr="0077606A">
        <w:t>as</w:t>
      </w:r>
      <w:r w:rsidR="00C648C3" w:rsidRPr="0077606A">
        <w:t xml:space="preserve"> the ‘primary provider’ of most types of accessibility and support.</w:t>
      </w:r>
      <w:r w:rsidR="00C648C3" w:rsidRPr="0077606A">
        <w:rPr>
          <w:rStyle w:val="FootnoteReference"/>
        </w:rPr>
        <w:footnoteReference w:id="91"/>
      </w:r>
      <w:r w:rsidR="005924E9" w:rsidRPr="0077606A">
        <w:t xml:space="preserve"> </w:t>
      </w:r>
      <w:r w:rsidR="00C5304F">
        <w:t xml:space="preserve">The controversial changes took </w:t>
      </w:r>
      <w:r w:rsidR="00C5304F" w:rsidRPr="00C5304F">
        <w:t>effect in the academic years 2015/16 and 2016/17</w:t>
      </w:r>
      <w:r w:rsidR="00C5304F">
        <w:t>.</w:t>
      </w:r>
      <w:r w:rsidR="00C5304F">
        <w:rPr>
          <w:rStyle w:val="FootnoteReference"/>
        </w:rPr>
        <w:footnoteReference w:id="92"/>
      </w:r>
    </w:p>
    <w:p w14:paraId="08F0A8AD" w14:textId="77777777" w:rsidR="005E5CC3" w:rsidRPr="0077606A" w:rsidRDefault="005E5CC3" w:rsidP="0016304F">
      <w:pPr>
        <w:spacing w:after="0"/>
      </w:pPr>
    </w:p>
    <w:p w14:paraId="1383B1D8" w14:textId="27D9A5D7" w:rsidR="001C386F" w:rsidRDefault="00766E22" w:rsidP="0016304F">
      <w:pPr>
        <w:spacing w:after="0"/>
      </w:pPr>
      <w:r w:rsidRPr="0077606A">
        <w:t xml:space="preserve">As with changes to Access to Work funding, the policy is decentralising </w:t>
      </w:r>
      <w:r w:rsidR="00FE7CD3" w:rsidRPr="0077606A">
        <w:t>-</w:t>
      </w:r>
      <w:r w:rsidRPr="0077606A">
        <w:t xml:space="preserve"> emphasis</w:t>
      </w:r>
      <w:r w:rsidR="00FE7CD3" w:rsidRPr="0077606A">
        <w:t>ing</w:t>
      </w:r>
      <w:r w:rsidRPr="0077606A">
        <w:t xml:space="preserve"> the anticipatory non-discrimination obligations of providers (under the Equality Act 2010) rather than </w:t>
      </w:r>
      <w:r w:rsidR="00FE7CD3" w:rsidRPr="0077606A">
        <w:t xml:space="preserve">the responsibilities of </w:t>
      </w:r>
      <w:r w:rsidRPr="0077606A">
        <w:t xml:space="preserve">central government. </w:t>
      </w:r>
      <w:r w:rsidR="004C0B03" w:rsidRPr="0077606A">
        <w:t xml:space="preserve">The equality </w:t>
      </w:r>
      <w:r w:rsidR="00FE7CD3" w:rsidRPr="0077606A">
        <w:t xml:space="preserve">impact </w:t>
      </w:r>
      <w:r w:rsidR="004C0B03" w:rsidRPr="0077606A">
        <w:t xml:space="preserve">analysis, revised at the end of 2014, </w:t>
      </w:r>
      <w:r w:rsidR="00FE7CD3" w:rsidRPr="0077606A">
        <w:t>also</w:t>
      </w:r>
      <w:r w:rsidR="004C0B03" w:rsidRPr="0077606A">
        <w:t xml:space="preserve"> emphasises </w:t>
      </w:r>
      <w:r w:rsidR="00FE7CD3" w:rsidRPr="0077606A">
        <w:t>that universities will need to do more</w:t>
      </w:r>
      <w:r w:rsidR="004C0B03" w:rsidRPr="0077606A">
        <w:t xml:space="preserve"> </w:t>
      </w:r>
      <w:r w:rsidR="00FE7CD3" w:rsidRPr="0077606A">
        <w:t>in</w:t>
      </w:r>
      <w:r w:rsidR="004C0B03" w:rsidRPr="0077606A">
        <w:t xml:space="preserve"> mitigation </w:t>
      </w:r>
      <w:r w:rsidR="00FE7CD3" w:rsidRPr="0077606A">
        <w:t>of the</w:t>
      </w:r>
      <w:r w:rsidR="004C0B03" w:rsidRPr="0077606A">
        <w:t xml:space="preserve"> impact on </w:t>
      </w:r>
      <w:r w:rsidR="00FE7CD3" w:rsidRPr="0077606A">
        <w:t xml:space="preserve">disabled </w:t>
      </w:r>
      <w:r w:rsidR="004C0B03" w:rsidRPr="0077606A">
        <w:t>students.</w:t>
      </w:r>
      <w:r w:rsidR="004C0B03" w:rsidRPr="0077606A">
        <w:rPr>
          <w:rStyle w:val="FootnoteReference"/>
        </w:rPr>
        <w:footnoteReference w:id="93"/>
      </w:r>
      <w:r w:rsidR="004C0B03" w:rsidRPr="0077606A">
        <w:t xml:space="preserve"> </w:t>
      </w:r>
      <w:r w:rsidR="005924E9" w:rsidRPr="0077606A">
        <w:t xml:space="preserve">Universities </w:t>
      </w:r>
      <w:r w:rsidRPr="0077606A">
        <w:t xml:space="preserve">do </w:t>
      </w:r>
      <w:r w:rsidR="005924E9" w:rsidRPr="0077606A">
        <w:t xml:space="preserve">receive some core funding from </w:t>
      </w:r>
      <w:r w:rsidRPr="0077606A">
        <w:t>a</w:t>
      </w:r>
      <w:r w:rsidR="005924E9" w:rsidRPr="0077606A">
        <w:t xml:space="preserve"> Student Opportunity Fund</w:t>
      </w:r>
      <w:r w:rsidR="00EA77BD" w:rsidRPr="0077606A">
        <w:t>, which includes a disability element</w:t>
      </w:r>
      <w:r w:rsidR="00556283">
        <w:t>,</w:t>
      </w:r>
      <w:r w:rsidRPr="0077606A">
        <w:t xml:space="preserve"> and this</w:t>
      </w:r>
      <w:r w:rsidR="00EA77BD" w:rsidRPr="0077606A">
        <w:t xml:space="preserve"> increased </w:t>
      </w:r>
      <w:r w:rsidRPr="0077606A">
        <w:t xml:space="preserve">by £5m in 2015-16, to £20m, </w:t>
      </w:r>
      <w:r w:rsidR="00FE7CD3" w:rsidRPr="0077606A">
        <w:t>although this</w:t>
      </w:r>
      <w:r w:rsidRPr="0077606A">
        <w:t xml:space="preserve"> is small compared to the existing </w:t>
      </w:r>
      <w:r w:rsidR="00E00AA7" w:rsidRPr="0077606A">
        <w:t xml:space="preserve">  </w:t>
      </w:r>
      <w:r w:rsidRPr="0077606A">
        <w:t>budget</w:t>
      </w:r>
      <w:r w:rsidR="00FE7CD3" w:rsidRPr="0077606A">
        <w:t xml:space="preserve"> (c.£150m)</w:t>
      </w:r>
      <w:r w:rsidRPr="0077606A">
        <w:t>.</w:t>
      </w:r>
    </w:p>
    <w:p w14:paraId="3E4A5966" w14:textId="77777777" w:rsidR="005E5CC3" w:rsidRPr="0077606A" w:rsidRDefault="005E5CC3" w:rsidP="0016304F">
      <w:pPr>
        <w:spacing w:after="0"/>
      </w:pPr>
    </w:p>
    <w:p w14:paraId="08D71E81" w14:textId="631FEDE4" w:rsidR="00ED7FAA" w:rsidRDefault="00ED7FAA" w:rsidP="0016304F">
      <w:pPr>
        <w:spacing w:after="0"/>
      </w:pPr>
    </w:p>
    <w:p w14:paraId="4D34F752" w14:textId="3EEBD776" w:rsidR="0010423F" w:rsidRDefault="0010423F" w:rsidP="0016304F">
      <w:pPr>
        <w:pStyle w:val="Heading2"/>
        <w:spacing w:after="0"/>
      </w:pPr>
      <w:bookmarkStart w:id="20" w:name="_Toc511056648"/>
      <w:r w:rsidRPr="0077606A">
        <w:lastRenderedPageBreak/>
        <w:t>Poverty and social inclusion</w:t>
      </w:r>
      <w:bookmarkEnd w:id="20"/>
    </w:p>
    <w:p w14:paraId="0400EEF7" w14:textId="4D12B0CF" w:rsidR="006E64BE" w:rsidRPr="006E64BE" w:rsidRDefault="006E64BE" w:rsidP="0016304F">
      <w:pPr>
        <w:spacing w:after="0"/>
      </w:pPr>
    </w:p>
    <w:p w14:paraId="32DC3BF8" w14:textId="77777777" w:rsidR="00033E2E" w:rsidRDefault="00033E2E" w:rsidP="0016304F">
      <w:pPr>
        <w:spacing w:after="0"/>
      </w:pPr>
      <w:r w:rsidRPr="0077606A">
        <w:t>As the statistical indicators suggest, socio-economic inequalities in the UK’s liberal market economy are wider than in most EU Member States, and the relative household risk of poverty or social exclusion for people of working age with severe impairments is striking. This risk is most strongly associated with low household work intensity but disability-related cash benefits have a protective influence. The poverty risks for older people are lower, on average, due mainly to the protective effect of past lifetime contributions and older pensions.</w:t>
      </w:r>
    </w:p>
    <w:p w14:paraId="5C9C1532" w14:textId="77777777" w:rsidR="006A7C67" w:rsidRDefault="006A7C67" w:rsidP="0016304F">
      <w:pPr>
        <w:spacing w:after="0"/>
      </w:pPr>
    </w:p>
    <w:p w14:paraId="6AE5FF98" w14:textId="6CC57EEF" w:rsidR="006A7C67" w:rsidRDefault="006A7C67" w:rsidP="0016304F">
      <w:pPr>
        <w:spacing w:after="0"/>
      </w:pPr>
      <w:r>
        <w:t>The Concluding Observations of the UN CRPD Committee in October 2017 highlight the impact of austerity measures and of reductions in social protection affecting disabled people in the UK. Notably, these refer to the tightening of eligibility criteria for out-of-work benefits and for disability-related costs resulting in reduced coverage. The Committee’s recommendations on social protection (Article 28 CRPD) call for wholesale evaluation and reform of Employment Support Allowance and Personal Independence Payment schemes, including their assessment methodology and budget allocation.</w:t>
      </w:r>
      <w:r w:rsidR="00A845EC">
        <w:t xml:space="preserve"> </w:t>
      </w:r>
      <w:r w:rsidR="00A845EC" w:rsidRPr="0077606A">
        <w:t xml:space="preserve">Similar questions about the impact of welfare reforms on ‘disadvantaged and marginalized individuals and groups’ </w:t>
      </w:r>
      <w:r w:rsidR="00A845EC">
        <w:t>were</w:t>
      </w:r>
      <w:r w:rsidR="00A845EC" w:rsidRPr="0077606A">
        <w:t xml:space="preserve"> raised in the UN Committee on Economic, Social and Cultural Rights in its </w:t>
      </w:r>
      <w:r w:rsidR="00A845EC">
        <w:t xml:space="preserve">2016 </w:t>
      </w:r>
      <w:r w:rsidR="00A845EC" w:rsidRPr="0077606A">
        <w:t>List of Issues.</w:t>
      </w:r>
      <w:r w:rsidR="00A845EC" w:rsidRPr="0077606A">
        <w:rPr>
          <w:rStyle w:val="FootnoteReference"/>
        </w:rPr>
        <w:footnoteReference w:id="94"/>
      </w:r>
    </w:p>
    <w:p w14:paraId="45F56273" w14:textId="77777777" w:rsidR="00033E2E" w:rsidRDefault="00033E2E" w:rsidP="0016304F">
      <w:pPr>
        <w:spacing w:after="0"/>
      </w:pPr>
    </w:p>
    <w:p w14:paraId="71CEA8F2" w14:textId="785B77A8" w:rsidR="0010423F" w:rsidRDefault="00A845EC" w:rsidP="0016304F">
      <w:pPr>
        <w:spacing w:after="0"/>
      </w:pPr>
      <w:r>
        <w:t>As reported in 2016, attempts to reduce the national</w:t>
      </w:r>
      <w:r w:rsidR="001C6708" w:rsidRPr="0077606A">
        <w:t xml:space="preserve"> deficit </w:t>
      </w:r>
      <w:r>
        <w:t>by austerity measures have</w:t>
      </w:r>
      <w:r w:rsidR="00017D56" w:rsidRPr="0077606A">
        <w:t xml:space="preserve"> been </w:t>
      </w:r>
      <w:r w:rsidR="001C6708" w:rsidRPr="0077606A">
        <w:t>encouraged by the</w:t>
      </w:r>
      <w:r>
        <w:t xml:space="preserve"> EU</w:t>
      </w:r>
      <w:r w:rsidR="001C6708" w:rsidRPr="0077606A">
        <w:t xml:space="preserve"> CSR</w:t>
      </w:r>
      <w:r w:rsidR="00FF7E05" w:rsidRPr="0077606A">
        <w:t>s</w:t>
      </w:r>
      <w:r>
        <w:t xml:space="preserve"> but this has</w:t>
      </w:r>
      <w:r w:rsidR="00704982" w:rsidRPr="0077606A">
        <w:t xml:space="preserve"> </w:t>
      </w:r>
      <w:r>
        <w:t>been pursued</w:t>
      </w:r>
      <w:r w:rsidRPr="0077606A">
        <w:t xml:space="preserve"> </w:t>
      </w:r>
      <w:r>
        <w:t>at the expense of</w:t>
      </w:r>
      <w:r w:rsidRPr="0077606A">
        <w:t xml:space="preserve"> </w:t>
      </w:r>
      <w:r w:rsidR="00704982" w:rsidRPr="0077606A">
        <w:t xml:space="preserve">significant reductions in disability benefit </w:t>
      </w:r>
      <w:r w:rsidRPr="0077606A">
        <w:t xml:space="preserve">eligibility </w:t>
      </w:r>
      <w:r>
        <w:t>for</w:t>
      </w:r>
      <w:r w:rsidRPr="0077606A">
        <w:t xml:space="preserve"> </w:t>
      </w:r>
      <w:r w:rsidR="00704982" w:rsidRPr="0077606A">
        <w:t xml:space="preserve">working age people. </w:t>
      </w:r>
      <w:r>
        <w:t xml:space="preserve">The findings of the UN human rights investigation confirm </w:t>
      </w:r>
      <w:r w:rsidR="00090024" w:rsidRPr="0077606A">
        <w:t>civil society</w:t>
      </w:r>
      <w:r>
        <w:t>’s concerns</w:t>
      </w:r>
      <w:r w:rsidR="00090024" w:rsidRPr="0077606A">
        <w:t xml:space="preserve"> that disabled people have been the ‘hardest hit’</w:t>
      </w:r>
      <w:r>
        <w:t>.</w:t>
      </w:r>
      <w:r w:rsidR="00090024" w:rsidRPr="0077606A">
        <w:rPr>
          <w:rStyle w:val="FootnoteReference"/>
        </w:rPr>
        <w:footnoteReference w:id="95"/>
      </w:r>
      <w:r w:rsidR="00F17DCF">
        <w:t xml:space="preserve"> The UK government response largely refutes the unequal impact of its reforms and was ‘p</w:t>
      </w:r>
      <w:r w:rsidR="00F17DCF" w:rsidRPr="00F17DCF">
        <w:t>roud of its record</w:t>
      </w:r>
      <w:r w:rsidR="00F17DCF">
        <w:t xml:space="preserve">’ and affirming that policies seek to make work pay. It focused on defending levels of spending without adequately addressing levels of outcome inequality. As shown earlier in our report, the UK’s exceptional levels of income and risk inequality are the key feature that should be </w:t>
      </w:r>
      <w:r w:rsidR="004259F8">
        <w:t>examined</w:t>
      </w:r>
      <w:r w:rsidR="00F17DCF">
        <w:t xml:space="preserve">.     </w:t>
      </w:r>
      <w:r w:rsidR="00090024" w:rsidRPr="0077606A">
        <w:t xml:space="preserve"> </w:t>
      </w:r>
    </w:p>
    <w:p w14:paraId="20343D95" w14:textId="77777777" w:rsidR="006E64BE" w:rsidRPr="0077606A" w:rsidRDefault="006E64BE" w:rsidP="0016304F">
      <w:pPr>
        <w:spacing w:after="0"/>
      </w:pPr>
    </w:p>
    <w:p w14:paraId="65D5CABD" w14:textId="7E1DD959" w:rsidR="00E60057" w:rsidRDefault="00412247" w:rsidP="0016304F">
      <w:pPr>
        <w:spacing w:after="0"/>
      </w:pPr>
      <w:r>
        <w:t xml:space="preserve">A </w:t>
      </w:r>
      <w:r w:rsidR="00E60057" w:rsidRPr="0077606A">
        <w:t>caps on receipt of state benefits</w:t>
      </w:r>
      <w:r>
        <w:t xml:space="preserve"> was introduced in 2012</w:t>
      </w:r>
      <w:r w:rsidR="00E60057" w:rsidRPr="0077606A">
        <w:t xml:space="preserve">, </w:t>
      </w:r>
      <w:r>
        <w:t xml:space="preserve">set </w:t>
      </w:r>
      <w:r w:rsidR="00E60057" w:rsidRPr="0077606A">
        <w:t>at average family income</w:t>
      </w:r>
      <w:r w:rsidR="00C70D59" w:rsidRPr="0077606A">
        <w:t xml:space="preserve"> </w:t>
      </w:r>
      <w:r w:rsidR="00033E2E">
        <w:t>(lower</w:t>
      </w:r>
      <w:r w:rsidR="00E60057" w:rsidRPr="0077606A">
        <w:t xml:space="preserve"> for single adults without parenting responsibilities</w:t>
      </w:r>
      <w:r w:rsidR="00033E2E">
        <w:t>)</w:t>
      </w:r>
      <w:r w:rsidR="00E60057" w:rsidRPr="0077606A">
        <w:t xml:space="preserve">. </w:t>
      </w:r>
      <w:r>
        <w:t>It</w:t>
      </w:r>
      <w:r w:rsidR="00E60057" w:rsidRPr="0077606A">
        <w:t xml:space="preserve"> excludes state pensions, some contributory unemployment benefits and benefits targeting the additional costs of living with disability. The </w:t>
      </w:r>
      <w:r>
        <w:t xml:space="preserve">current </w:t>
      </w:r>
      <w:r w:rsidR="00E60057" w:rsidRPr="0077606A">
        <w:t>government</w:t>
      </w:r>
      <w:r w:rsidR="00C70D59" w:rsidRPr="0077606A">
        <w:t>,</w:t>
      </w:r>
      <w:r w:rsidR="00E60057" w:rsidRPr="0077606A">
        <w:t xml:space="preserve"> elected May 2015</w:t>
      </w:r>
      <w:r w:rsidR="00C70D59" w:rsidRPr="0077606A">
        <w:t>,</w:t>
      </w:r>
      <w:r w:rsidR="00E60057" w:rsidRPr="0077606A">
        <w:t xml:space="preserve"> </w:t>
      </w:r>
      <w:r w:rsidR="006C27EB">
        <w:t>reduced</w:t>
      </w:r>
      <w:r w:rsidR="00775A36" w:rsidRPr="0077606A">
        <w:t xml:space="preserve"> </w:t>
      </w:r>
      <w:r w:rsidR="00C70D59" w:rsidRPr="0077606A">
        <w:t>this</w:t>
      </w:r>
      <w:r w:rsidR="00775A36" w:rsidRPr="0077606A">
        <w:t xml:space="preserve"> benefit cap</w:t>
      </w:r>
      <w:r w:rsidR="006C27EB">
        <w:t>, froze</w:t>
      </w:r>
      <w:r w:rsidR="00E60057" w:rsidRPr="0077606A">
        <w:t xml:space="preserve"> </w:t>
      </w:r>
      <w:r w:rsidR="00775A36" w:rsidRPr="0077606A">
        <w:t xml:space="preserve">most </w:t>
      </w:r>
      <w:r w:rsidR="00E60057" w:rsidRPr="0077606A">
        <w:t>working age benefits and cut Tax Credits</w:t>
      </w:r>
      <w:r w:rsidR="00C70D59" w:rsidRPr="0077606A">
        <w:t xml:space="preserve"> for working families</w:t>
      </w:r>
      <w:r w:rsidR="006C27EB">
        <w:t xml:space="preserve"> (</w:t>
      </w:r>
      <w:r w:rsidR="00E60057" w:rsidRPr="0077606A">
        <w:t>mitigat</w:t>
      </w:r>
      <w:r>
        <w:t xml:space="preserve">ing this partly </w:t>
      </w:r>
      <w:r w:rsidR="00E60057" w:rsidRPr="0077606A">
        <w:t xml:space="preserve">by </w:t>
      </w:r>
      <w:r>
        <w:t xml:space="preserve">setting </w:t>
      </w:r>
      <w:r w:rsidR="00E60057" w:rsidRPr="0077606A">
        <w:t xml:space="preserve">a </w:t>
      </w:r>
      <w:r w:rsidR="00C70D59" w:rsidRPr="0077606A">
        <w:t xml:space="preserve">new </w:t>
      </w:r>
      <w:r w:rsidR="00775A36" w:rsidRPr="0077606A">
        <w:t xml:space="preserve">mandatory </w:t>
      </w:r>
      <w:r w:rsidR="00E60057" w:rsidRPr="0077606A">
        <w:t>National Living Wage</w:t>
      </w:r>
      <w:r w:rsidR="006C27EB">
        <w:t>)</w:t>
      </w:r>
      <w:r w:rsidR="00E60057" w:rsidRPr="0077606A">
        <w:t>.</w:t>
      </w:r>
      <w:r w:rsidR="00775A36" w:rsidRPr="0077606A">
        <w:rPr>
          <w:rStyle w:val="FootnoteReference"/>
        </w:rPr>
        <w:footnoteReference w:id="96"/>
      </w:r>
      <w:r w:rsidR="00E60057" w:rsidRPr="0077606A">
        <w:t xml:space="preserve"> </w:t>
      </w:r>
      <w:r w:rsidR="006C27EB">
        <w:t>The current cap for a couple receiving Housing Benefit, with or without children, is now £384.62 per week outside London (442.31 in London).</w:t>
      </w:r>
      <w:r>
        <w:rPr>
          <w:rStyle w:val="FootnoteReference"/>
        </w:rPr>
        <w:footnoteReference w:id="97"/>
      </w:r>
      <w:r w:rsidR="006C27EB">
        <w:t xml:space="preserve"> </w:t>
      </w:r>
      <w:r w:rsidR="00E60057" w:rsidRPr="0077606A">
        <w:t xml:space="preserve">Mirroring the general policy approach </w:t>
      </w:r>
      <w:r w:rsidR="00775A36" w:rsidRPr="0077606A">
        <w:t>to</w:t>
      </w:r>
      <w:r w:rsidR="00E60057" w:rsidRPr="0077606A">
        <w:t xml:space="preserve"> employment and training</w:t>
      </w:r>
      <w:r w:rsidR="00775A36" w:rsidRPr="0077606A">
        <w:t xml:space="preserve"> support</w:t>
      </w:r>
      <w:r w:rsidR="00E60057" w:rsidRPr="0077606A">
        <w:t xml:space="preserve">, the </w:t>
      </w:r>
      <w:r w:rsidR="00033E2E">
        <w:t>policy direction is</w:t>
      </w:r>
      <w:r w:rsidR="00775A36" w:rsidRPr="0077606A">
        <w:t xml:space="preserve"> </w:t>
      </w:r>
      <w:r w:rsidR="00E60057" w:rsidRPr="0077606A">
        <w:t xml:space="preserve">to </w:t>
      </w:r>
      <w:r w:rsidR="006C27EB">
        <w:t xml:space="preserve">shift </w:t>
      </w:r>
      <w:r w:rsidR="00E60057" w:rsidRPr="0077606A">
        <w:t xml:space="preserve">responsibility </w:t>
      </w:r>
      <w:r w:rsidR="006C27EB" w:rsidRPr="0077606A">
        <w:t xml:space="preserve">for poverty risk reduction </w:t>
      </w:r>
      <w:r w:rsidR="006C27EB">
        <w:t>from the state towards</w:t>
      </w:r>
      <w:r w:rsidR="00E60057" w:rsidRPr="0077606A">
        <w:t xml:space="preserve"> employer</w:t>
      </w:r>
      <w:r w:rsidR="006C27EB">
        <w:t>s</w:t>
      </w:r>
      <w:r w:rsidR="00E60057" w:rsidRPr="0077606A">
        <w:t xml:space="preserve"> and personal responsibility.</w:t>
      </w:r>
    </w:p>
    <w:p w14:paraId="1932984D" w14:textId="415D367F" w:rsidR="004340A6" w:rsidRDefault="00033E2E" w:rsidP="0016304F">
      <w:pPr>
        <w:spacing w:after="0"/>
      </w:pPr>
      <w:r>
        <w:lastRenderedPageBreak/>
        <w:t xml:space="preserve">As reported in </w:t>
      </w:r>
      <w:r w:rsidR="00856ED7">
        <w:t>previous</w:t>
      </w:r>
      <w:r>
        <w:t xml:space="preserve"> </w:t>
      </w:r>
      <w:r w:rsidR="00C70D59" w:rsidRPr="0077606A">
        <w:t>ANED country report</w:t>
      </w:r>
      <w:r>
        <w:t>s</w:t>
      </w:r>
      <w:r w:rsidR="00C70D59" w:rsidRPr="0077606A">
        <w:t xml:space="preserve"> </w:t>
      </w:r>
      <w:r>
        <w:t xml:space="preserve">the welfare reforms most relevant to disabled people are </w:t>
      </w:r>
      <w:r w:rsidR="004340A6" w:rsidRPr="0077606A">
        <w:t xml:space="preserve">the </w:t>
      </w:r>
      <w:r w:rsidR="00EE7838">
        <w:t>delayed implementation</w:t>
      </w:r>
      <w:r w:rsidR="00EE7838" w:rsidRPr="0077606A">
        <w:t xml:space="preserve"> </w:t>
      </w:r>
      <w:r w:rsidR="004340A6" w:rsidRPr="0077606A">
        <w:t xml:space="preserve">of </w:t>
      </w:r>
      <w:r w:rsidR="00C70D59" w:rsidRPr="0077606A">
        <w:t>Universal Credit (UC)</w:t>
      </w:r>
      <w:r>
        <w:t>, t</w:t>
      </w:r>
      <w:r w:rsidR="004340A6" w:rsidRPr="0077606A">
        <w:t>he Work Capability Assessment (WCA) associated with Employment and Support Allowance (ESA)</w:t>
      </w:r>
      <w:r w:rsidR="004340A6" w:rsidRPr="0077606A">
        <w:rPr>
          <w:b/>
          <w:bCs/>
        </w:rPr>
        <w:t xml:space="preserve"> </w:t>
      </w:r>
      <w:r>
        <w:t>and the</w:t>
      </w:r>
      <w:r w:rsidR="006F33A3" w:rsidRPr="0077606A">
        <w:t xml:space="preserve"> replacement of Disability Living Allowance (DLA) with Personal Independence Payments (PIP)</w:t>
      </w:r>
      <w:r>
        <w:t xml:space="preserve">. </w:t>
      </w:r>
      <w:r w:rsidR="006D0E0C" w:rsidRPr="0077606A">
        <w:t>C</w:t>
      </w:r>
      <w:r w:rsidR="006D0E0C" w:rsidRPr="0077606A">
        <w:rPr>
          <w:lang w:eastAsia="en-GB"/>
        </w:rPr>
        <w:t xml:space="preserve">losure of the Independent Living Fund (ILF) in 2015 </w:t>
      </w:r>
      <w:r>
        <w:rPr>
          <w:lang w:eastAsia="en-GB"/>
        </w:rPr>
        <w:t xml:space="preserve">also </w:t>
      </w:r>
      <w:r w:rsidR="006D0E0C" w:rsidRPr="0077606A">
        <w:rPr>
          <w:lang w:eastAsia="en-GB"/>
        </w:rPr>
        <w:t>‘put seriously in peril’ independent living for a large number of disabled people,</w:t>
      </w:r>
      <w:r w:rsidR="006D0E0C" w:rsidRPr="0077606A">
        <w:rPr>
          <w:rStyle w:val="FootnoteReference"/>
        </w:rPr>
        <w:footnoteReference w:id="98"/>
      </w:r>
      <w:r w:rsidR="006D0E0C" w:rsidRPr="0077606A">
        <w:rPr>
          <w:lang w:eastAsia="en-GB"/>
        </w:rPr>
        <w:t xml:space="preserve"> while </w:t>
      </w:r>
      <w:r w:rsidR="006D0E0C" w:rsidRPr="0077606A">
        <w:t xml:space="preserve">constraints on Housing Benefit (HB) </w:t>
      </w:r>
      <w:r w:rsidR="00EE7838">
        <w:t>were</w:t>
      </w:r>
      <w:r w:rsidR="00EE7838" w:rsidRPr="0077606A">
        <w:t xml:space="preserve"> </w:t>
      </w:r>
      <w:r w:rsidR="006D0E0C" w:rsidRPr="0077606A">
        <w:t>shown to disproportionately affect households including disabled people.</w:t>
      </w:r>
      <w:r w:rsidR="006D0E0C" w:rsidRPr="0077606A">
        <w:rPr>
          <w:rStyle w:val="FootnoteReference"/>
          <w:lang w:eastAsia="en-GB"/>
        </w:rPr>
        <w:footnoteReference w:id="99"/>
      </w:r>
    </w:p>
    <w:p w14:paraId="56D06EAA" w14:textId="77777777" w:rsidR="00C37243" w:rsidRDefault="00C37243" w:rsidP="0016304F">
      <w:pPr>
        <w:spacing w:after="0"/>
        <w:rPr>
          <w:lang w:eastAsia="en-GB"/>
        </w:rPr>
      </w:pPr>
    </w:p>
    <w:p w14:paraId="45097C1E" w14:textId="38D9593F" w:rsidR="006E64BE" w:rsidRPr="009718E4" w:rsidRDefault="00A417E6" w:rsidP="0016304F">
      <w:pPr>
        <w:spacing w:after="0"/>
        <w:rPr>
          <w:b/>
          <w:bCs/>
          <w:i/>
          <w:iCs/>
        </w:rPr>
      </w:pPr>
      <w:r w:rsidRPr="009718E4">
        <w:rPr>
          <w:b/>
          <w:bCs/>
          <w:i/>
          <w:iCs/>
        </w:rPr>
        <w:t>Universal Credit</w:t>
      </w:r>
    </w:p>
    <w:p w14:paraId="05418D72" w14:textId="1F0B9455" w:rsidR="00A417E6" w:rsidRDefault="00A417E6" w:rsidP="0016304F">
      <w:pPr>
        <w:spacing w:after="0"/>
      </w:pPr>
      <w:r>
        <w:t xml:space="preserve">The replacement of Employment and Support Allowance (ESA) as the main out of work benefit for those unable to work is now underway with the phased implementation of </w:t>
      </w:r>
      <w:r w:rsidR="000356B3">
        <w:t xml:space="preserve">non-contributory, means-tested </w:t>
      </w:r>
      <w:r>
        <w:t xml:space="preserve">Universal Credit (which replaces and integrates a bundle of six </w:t>
      </w:r>
      <w:r w:rsidR="000356B3">
        <w:t>existing</w:t>
      </w:r>
      <w:r>
        <w:t xml:space="preserve"> benefits, both in and out of work benefits). Initially, this affects new claimants only. </w:t>
      </w:r>
      <w:r w:rsidRPr="00A417E6">
        <w:t xml:space="preserve">The rates </w:t>
      </w:r>
      <w:r>
        <w:t xml:space="preserve">of payment for persons with </w:t>
      </w:r>
      <w:r w:rsidRPr="00A417E6">
        <w:t xml:space="preserve">limited capability for work are lower than the </w:t>
      </w:r>
      <w:r>
        <w:t>existing</w:t>
      </w:r>
      <w:r w:rsidRPr="00A417E6">
        <w:t xml:space="preserve"> ESA rates.</w:t>
      </w:r>
      <w:r w:rsidR="000356B3">
        <w:t xml:space="preserve"> The process of </w:t>
      </w:r>
      <w:r w:rsidR="000356B3" w:rsidRPr="000356B3">
        <w:t>Work Capability Assessment</w:t>
      </w:r>
      <w:r w:rsidR="000356B3">
        <w:t xml:space="preserve"> is essentially the same as that operating under the existing system.</w:t>
      </w:r>
      <w:r w:rsidR="000356B3">
        <w:rPr>
          <w:rStyle w:val="FootnoteReference"/>
        </w:rPr>
        <w:footnoteReference w:id="100"/>
      </w:r>
      <w:r w:rsidR="000356B3">
        <w:t xml:space="preserve"> </w:t>
      </w:r>
      <w:r w:rsidR="000E2774">
        <w:t>For those assessed as capable of work the</w:t>
      </w:r>
      <w:r w:rsidR="000356B3">
        <w:t xml:space="preserve"> scheme is characterised by </w:t>
      </w:r>
      <w:r w:rsidR="000E2774">
        <w:t xml:space="preserve">a ‘claimant commitment’ to </w:t>
      </w:r>
      <w:r w:rsidR="000356B3">
        <w:t xml:space="preserve">stronger </w:t>
      </w:r>
      <w:r w:rsidR="000356B3" w:rsidRPr="000356B3">
        <w:t>work-related ‘requirements’</w:t>
      </w:r>
      <w:r w:rsidR="000E2774">
        <w:t xml:space="preserve"> with benefit sanctions for non-compliance. In the transition to Universal Credit, single person disability premiums have been cut, a potential loss of more than £2,000 per year (although subject to transitional relief).</w:t>
      </w:r>
      <w:r w:rsidR="000E2774">
        <w:rPr>
          <w:rStyle w:val="FootnoteReference"/>
        </w:rPr>
        <w:footnoteReference w:id="101"/>
      </w:r>
      <w:r w:rsidR="000E2774">
        <w:t xml:space="preserve">  </w:t>
      </w:r>
    </w:p>
    <w:p w14:paraId="4461C0E7" w14:textId="77777777" w:rsidR="000E2774" w:rsidRDefault="000E2774" w:rsidP="0016304F">
      <w:pPr>
        <w:spacing w:after="0"/>
      </w:pPr>
    </w:p>
    <w:p w14:paraId="75322985" w14:textId="4E473936" w:rsidR="000E2774" w:rsidRDefault="000E2774" w:rsidP="0016304F">
      <w:pPr>
        <w:spacing w:after="0"/>
      </w:pPr>
      <w:r>
        <w:t xml:space="preserve">The long-running controversy around the assessment methodology for Work Capability Assessment and Personal Independence Payments continues, with concerns over the process, consistency and fairness reviewed in previous ANED reports (and subject to forthcoming ANED analysis in 2018). </w:t>
      </w:r>
    </w:p>
    <w:p w14:paraId="35FCA882" w14:textId="77777777" w:rsidR="00A417E6" w:rsidRDefault="00A417E6" w:rsidP="0016304F">
      <w:pPr>
        <w:spacing w:after="0"/>
      </w:pPr>
    </w:p>
    <w:p w14:paraId="13CEC7AA" w14:textId="3421405B" w:rsidR="000E2774" w:rsidRPr="009718E4" w:rsidRDefault="000E2774" w:rsidP="0016304F">
      <w:pPr>
        <w:spacing w:after="0"/>
        <w:rPr>
          <w:b/>
          <w:bCs/>
          <w:i/>
          <w:iCs/>
          <w:lang w:eastAsia="en-GB"/>
        </w:rPr>
      </w:pPr>
      <w:r w:rsidRPr="009718E4">
        <w:rPr>
          <w:b/>
          <w:bCs/>
          <w:i/>
          <w:iCs/>
        </w:rPr>
        <w:t>Personal Independence Payments</w:t>
      </w:r>
    </w:p>
    <w:p w14:paraId="69B136AC" w14:textId="1CAE53F0" w:rsidR="00EE7838" w:rsidRDefault="00BB63C9" w:rsidP="0016304F">
      <w:pPr>
        <w:spacing w:after="0"/>
        <w:rPr>
          <w:lang w:eastAsia="en-GB"/>
        </w:rPr>
      </w:pPr>
      <w:r>
        <w:rPr>
          <w:lang w:eastAsia="en-GB"/>
        </w:rPr>
        <w:t>The March 2016 Budget statement</w:t>
      </w:r>
      <w:r>
        <w:rPr>
          <w:rStyle w:val="FootnoteReference"/>
          <w:lang w:eastAsia="en-GB"/>
        </w:rPr>
        <w:footnoteReference w:id="102"/>
      </w:r>
      <w:r>
        <w:rPr>
          <w:lang w:eastAsia="en-GB"/>
        </w:rPr>
        <w:t xml:space="preserve"> confirmed a failure to meet the government’s 2014 ‘Welfare Cap’ commitment, including </w:t>
      </w:r>
      <w:r w:rsidR="00EE7838">
        <w:rPr>
          <w:lang w:eastAsia="en-GB"/>
        </w:rPr>
        <w:t xml:space="preserve">the government’s reduced </w:t>
      </w:r>
      <w:r>
        <w:rPr>
          <w:lang w:eastAsia="en-GB"/>
        </w:rPr>
        <w:t xml:space="preserve">spending targets </w:t>
      </w:r>
      <w:r w:rsidR="00EE7838">
        <w:rPr>
          <w:lang w:eastAsia="en-GB"/>
        </w:rPr>
        <w:t xml:space="preserve">for the </w:t>
      </w:r>
      <w:r>
        <w:rPr>
          <w:lang w:eastAsia="en-GB"/>
        </w:rPr>
        <w:t xml:space="preserve">transition from Disability Living Allowance (DLA) to Personal Independence Payments (PIP). Real terms expenditure on these benefits continues to rise and is expected to be at least £3bn higher in 2019-20 than it was in 2009-10. </w:t>
      </w:r>
    </w:p>
    <w:p w14:paraId="52833E0D" w14:textId="77777777" w:rsidR="00EE7838" w:rsidRDefault="00EE7838" w:rsidP="0016304F">
      <w:pPr>
        <w:spacing w:after="0"/>
        <w:rPr>
          <w:lang w:eastAsia="en-GB"/>
        </w:rPr>
      </w:pPr>
    </w:p>
    <w:p w14:paraId="49BD64F9" w14:textId="79057A28" w:rsidR="002746E5" w:rsidRDefault="00EE7838" w:rsidP="0016304F">
      <w:pPr>
        <w:spacing w:after="0"/>
        <w:rPr>
          <w:lang w:eastAsia="en-GB"/>
        </w:rPr>
      </w:pPr>
      <w:r>
        <w:rPr>
          <w:lang w:eastAsia="en-GB"/>
        </w:rPr>
        <w:t>To</w:t>
      </w:r>
      <w:r w:rsidR="00BB63C9">
        <w:rPr>
          <w:lang w:eastAsia="en-GB"/>
        </w:rPr>
        <w:t xml:space="preserve"> meet the </w:t>
      </w:r>
      <w:r>
        <w:rPr>
          <w:lang w:eastAsia="en-GB"/>
        </w:rPr>
        <w:t xml:space="preserve">targets further </w:t>
      </w:r>
      <w:r w:rsidR="00BB63C9">
        <w:rPr>
          <w:lang w:eastAsia="en-GB"/>
        </w:rPr>
        <w:t xml:space="preserve">changes to the formula for calculating the daily living component of PIP </w:t>
      </w:r>
      <w:r>
        <w:rPr>
          <w:lang w:eastAsia="en-GB"/>
        </w:rPr>
        <w:t xml:space="preserve">were introduced </w:t>
      </w:r>
      <w:r w:rsidR="00BB63C9">
        <w:rPr>
          <w:lang w:eastAsia="en-GB"/>
        </w:rPr>
        <w:t xml:space="preserve">from January 2017 (formerly the ‘care’ component of DLA). In essence, the change is to reduce the points weighting given to persons who use an aid or appliance to carry out daily living tasks. This benefit </w:t>
      </w:r>
      <w:r w:rsidR="00BB63C9">
        <w:rPr>
          <w:lang w:eastAsia="en-GB"/>
        </w:rPr>
        <w:lastRenderedPageBreak/>
        <w:t>targeting is expected to reduce payments to 640,000 claimants.</w:t>
      </w:r>
      <w:r>
        <w:rPr>
          <w:lang w:eastAsia="en-GB"/>
        </w:rPr>
        <w:t xml:space="preserve"> Amendment to the regulations in March 2017 introduced further tightening of interpretation in response to tribunal judgements, which were expected to affect 336,500 people receiving the mobility component (282,500 of whom were expected to lose eligibility altogether).</w:t>
      </w:r>
      <w:r>
        <w:rPr>
          <w:rStyle w:val="FootnoteReference"/>
          <w:lang w:eastAsia="en-GB"/>
        </w:rPr>
        <w:footnoteReference w:id="103"/>
      </w:r>
    </w:p>
    <w:p w14:paraId="45CF7BDB" w14:textId="77777777" w:rsidR="002746E5" w:rsidRDefault="002746E5" w:rsidP="0016304F">
      <w:pPr>
        <w:spacing w:after="0"/>
        <w:rPr>
          <w:lang w:eastAsia="en-GB"/>
        </w:rPr>
      </w:pPr>
    </w:p>
    <w:p w14:paraId="32B1E5B5" w14:textId="672EB173" w:rsidR="002746E5" w:rsidRPr="009718E4" w:rsidRDefault="002746E5" w:rsidP="0016304F">
      <w:pPr>
        <w:spacing w:after="0"/>
        <w:rPr>
          <w:b/>
          <w:i/>
          <w:lang w:eastAsia="en-GB"/>
        </w:rPr>
      </w:pPr>
      <w:r w:rsidRPr="009718E4">
        <w:rPr>
          <w:b/>
          <w:i/>
          <w:lang w:eastAsia="en-GB"/>
        </w:rPr>
        <w:t>Tax-free childcare</w:t>
      </w:r>
    </w:p>
    <w:p w14:paraId="6A6F40E4" w14:textId="5AABDC40" w:rsidR="00BB63C9" w:rsidRDefault="002746E5" w:rsidP="0016304F">
      <w:pPr>
        <w:spacing w:after="0"/>
        <w:rPr>
          <w:lang w:eastAsia="en-GB"/>
        </w:rPr>
      </w:pPr>
      <w:r w:rsidRPr="002746E5">
        <w:rPr>
          <w:lang w:eastAsia="en-GB"/>
        </w:rPr>
        <w:t xml:space="preserve">As </w:t>
      </w:r>
      <w:r>
        <w:rPr>
          <w:lang w:eastAsia="en-GB"/>
        </w:rPr>
        <w:t xml:space="preserve">previewed in the 2016 </w:t>
      </w:r>
      <w:r w:rsidRPr="002746E5">
        <w:rPr>
          <w:lang w:eastAsia="en-GB"/>
        </w:rPr>
        <w:t xml:space="preserve">NRP Tax-free childcare (TFC) </w:t>
      </w:r>
      <w:r>
        <w:rPr>
          <w:lang w:eastAsia="en-GB"/>
        </w:rPr>
        <w:t>was</w:t>
      </w:r>
      <w:r w:rsidRPr="002746E5">
        <w:rPr>
          <w:lang w:eastAsia="en-GB"/>
        </w:rPr>
        <w:t xml:space="preserve"> introduced in 2017. This </w:t>
      </w:r>
      <w:r>
        <w:rPr>
          <w:lang w:eastAsia="en-GB"/>
        </w:rPr>
        <w:t>extends</w:t>
      </w:r>
      <w:r w:rsidRPr="002746E5">
        <w:rPr>
          <w:lang w:eastAsia="en-GB"/>
        </w:rPr>
        <w:t xml:space="preserve"> for an additional five years for disabled children compared to non-disabled children (up to the age of 17 rather than 12) and to a higher annual maximum (up to £4,000 rather than £2,000).</w:t>
      </w:r>
      <w:r>
        <w:rPr>
          <w:rStyle w:val="FootnoteReference"/>
          <w:lang w:eastAsia="en-GB"/>
        </w:rPr>
        <w:footnoteReference w:id="104"/>
      </w:r>
    </w:p>
    <w:p w14:paraId="19EDDB75" w14:textId="77777777" w:rsidR="000C4D4A" w:rsidRDefault="000C4D4A" w:rsidP="0016304F">
      <w:pPr>
        <w:spacing w:after="0"/>
        <w:rPr>
          <w:lang w:eastAsia="en-GB"/>
        </w:rPr>
      </w:pPr>
    </w:p>
    <w:p w14:paraId="50CDB424" w14:textId="7E84B6B2" w:rsidR="000E2774" w:rsidRPr="009718E4" w:rsidRDefault="000E2774" w:rsidP="0016304F">
      <w:pPr>
        <w:spacing w:after="0"/>
        <w:rPr>
          <w:b/>
          <w:bCs/>
          <w:i/>
          <w:iCs/>
        </w:rPr>
      </w:pPr>
      <w:r w:rsidRPr="009718E4">
        <w:rPr>
          <w:b/>
          <w:bCs/>
          <w:i/>
          <w:iCs/>
        </w:rPr>
        <w:t>Housing supply</w:t>
      </w:r>
    </w:p>
    <w:p w14:paraId="6C156724" w14:textId="6F1B24F5" w:rsidR="00C95E76" w:rsidRPr="00C95E76" w:rsidRDefault="00C95E76" w:rsidP="0016304F">
      <w:pPr>
        <w:spacing w:after="0"/>
      </w:pPr>
      <w:r>
        <w:t xml:space="preserve">In 2015 we reported in detail on accessibility and inclusion issues in the </w:t>
      </w:r>
      <w:r w:rsidRPr="00C95E76">
        <w:t>supply of affordable homes</w:t>
      </w:r>
      <w:r>
        <w:t>, and the opportunity presented to increase the stock of accessible homes</w:t>
      </w:r>
      <w:r w:rsidR="00C60EE1">
        <w:t xml:space="preserve"> (this was also covered in ANED reporting on the EU ‘Social Pillar’ agenda)</w:t>
      </w:r>
      <w:r>
        <w:t xml:space="preserve">. </w:t>
      </w:r>
      <w:r w:rsidR="00BE5871">
        <w:t xml:space="preserve">There is no evidence of policy progress on the issue from a disability perspective, nor the wider goal of delivering sufficient affordable housing in general. However, at </w:t>
      </w:r>
      <w:r w:rsidR="00C60EE1">
        <w:t xml:space="preserve">the end of 2016 the Equality and Human Rights Commission </w:t>
      </w:r>
      <w:r w:rsidR="00BE5871">
        <w:t xml:space="preserve">used its initiative powers to </w:t>
      </w:r>
      <w:r w:rsidR="00C60EE1">
        <w:t xml:space="preserve">launch a formal inquiry on housing for disabled people </w:t>
      </w:r>
      <w:r w:rsidR="00BE5871">
        <w:t>in Great Britain.</w:t>
      </w:r>
      <w:r w:rsidR="00BE5871">
        <w:rPr>
          <w:rStyle w:val="FootnoteReference"/>
        </w:rPr>
        <w:footnoteReference w:id="105"/>
      </w:r>
      <w:r w:rsidR="00BE5871">
        <w:t xml:space="preserve"> This has drawn attention to the ‘</w:t>
      </w:r>
      <w:r w:rsidR="00BE5871" w:rsidRPr="00BE5871">
        <w:t>chronic lack of accessible and adaptable housing available for disabled people in Britain</w:t>
      </w:r>
      <w:r w:rsidR="00BE5871">
        <w:t xml:space="preserve">’ in 2017. A report is expected in early 2018. </w:t>
      </w:r>
    </w:p>
    <w:p w14:paraId="2BE86B26" w14:textId="77777777" w:rsidR="006E64BE" w:rsidRPr="0077606A" w:rsidRDefault="006E64BE" w:rsidP="0016304F">
      <w:pPr>
        <w:spacing w:after="0"/>
      </w:pPr>
    </w:p>
    <w:p w14:paraId="0E634D80" w14:textId="77777777" w:rsidR="0010423F" w:rsidRDefault="001E4166" w:rsidP="0016304F">
      <w:pPr>
        <w:pStyle w:val="Heading2"/>
        <w:spacing w:after="0"/>
        <w:rPr>
          <w:szCs w:val="24"/>
          <w:lang w:eastAsia="en-GB"/>
        </w:rPr>
      </w:pPr>
      <w:bookmarkStart w:id="21" w:name="_Toc511056649"/>
      <w:r w:rsidRPr="0077606A">
        <w:rPr>
          <w:szCs w:val="24"/>
          <w:lang w:eastAsia="en-GB"/>
        </w:rPr>
        <w:t>S</w:t>
      </w:r>
      <w:r w:rsidR="0010423F" w:rsidRPr="0077606A">
        <w:rPr>
          <w:szCs w:val="24"/>
          <w:lang w:eastAsia="en-GB"/>
        </w:rPr>
        <w:t xml:space="preserve">ynergies between </w:t>
      </w:r>
      <w:r w:rsidRPr="0077606A">
        <w:rPr>
          <w:szCs w:val="24"/>
          <w:lang w:eastAsia="en-GB"/>
        </w:rPr>
        <w:t>developments in the different areas</w:t>
      </w:r>
      <w:bookmarkEnd w:id="21"/>
    </w:p>
    <w:p w14:paraId="12A0DFED" w14:textId="77777777" w:rsidR="006E64BE" w:rsidRPr="006E64BE" w:rsidRDefault="006E64BE" w:rsidP="0016304F">
      <w:pPr>
        <w:spacing w:after="0"/>
        <w:rPr>
          <w:lang w:eastAsia="en-GB"/>
        </w:rPr>
      </w:pPr>
    </w:p>
    <w:p w14:paraId="4B77E080" w14:textId="52FA07CB" w:rsidR="00085F0A" w:rsidRDefault="00CA0CDD" w:rsidP="0016304F">
      <w:pPr>
        <w:spacing w:after="0"/>
        <w:rPr>
          <w:lang w:eastAsia="en-GB"/>
        </w:rPr>
      </w:pPr>
      <w:r>
        <w:rPr>
          <w:lang w:eastAsia="en-GB"/>
        </w:rPr>
        <w:t>The synergies and tensions existing between the policy approaches to employment, education and poverty reduction for disabled people in the UK remain similar to those reported since election of a Conservative-led government in 201</w:t>
      </w:r>
      <w:r w:rsidR="00085F0A">
        <w:rPr>
          <w:lang w:eastAsia="en-GB"/>
        </w:rPr>
        <w:t>5. Despite international concerns about the relative situation of disabled people in the UK , the policy direction has continued with EU support for austerity policies. The additional risks now posed by Brexit heighten these concerns.</w:t>
      </w:r>
      <w:r w:rsidR="006D0E0C" w:rsidRPr="0077606A">
        <w:rPr>
          <w:lang w:eastAsia="en-GB"/>
        </w:rPr>
        <w:t xml:space="preserve"> </w:t>
      </w:r>
      <w:r w:rsidR="00085F0A">
        <w:rPr>
          <w:lang w:eastAsia="en-GB"/>
        </w:rPr>
        <w:t>The predominantly liberal market approach shifts responsibilities increasingly from the state towards employers, educational providers and families.</w:t>
      </w:r>
    </w:p>
    <w:p w14:paraId="18E45DD9" w14:textId="77777777" w:rsidR="00085F0A" w:rsidRDefault="00085F0A" w:rsidP="0016304F">
      <w:pPr>
        <w:spacing w:after="0"/>
        <w:rPr>
          <w:lang w:eastAsia="en-GB"/>
        </w:rPr>
      </w:pPr>
    </w:p>
    <w:p w14:paraId="40BB31F5" w14:textId="5B632DCC" w:rsidR="009C3591" w:rsidRDefault="00085F0A" w:rsidP="0016304F">
      <w:pPr>
        <w:spacing w:after="0"/>
        <w:rPr>
          <w:lang w:eastAsia="en-GB"/>
        </w:rPr>
      </w:pPr>
      <w:r>
        <w:rPr>
          <w:lang w:eastAsia="en-GB"/>
        </w:rPr>
        <w:t>On the plus side, the</w:t>
      </w:r>
      <w:r w:rsidR="009C3591" w:rsidRPr="0077606A">
        <w:rPr>
          <w:lang w:eastAsia="en-GB"/>
        </w:rPr>
        <w:t xml:space="preserve"> headline </w:t>
      </w:r>
      <w:r>
        <w:rPr>
          <w:lang w:eastAsia="en-GB"/>
        </w:rPr>
        <w:t xml:space="preserve">disability </w:t>
      </w:r>
      <w:r w:rsidR="009C3591" w:rsidRPr="0077606A">
        <w:rPr>
          <w:lang w:eastAsia="en-GB"/>
        </w:rPr>
        <w:t xml:space="preserve">employment gap </w:t>
      </w:r>
      <w:r>
        <w:rPr>
          <w:lang w:eastAsia="en-GB"/>
        </w:rPr>
        <w:t xml:space="preserve">has continued to </w:t>
      </w:r>
      <w:r w:rsidR="009C3591" w:rsidRPr="0077606A">
        <w:rPr>
          <w:lang w:eastAsia="en-GB"/>
        </w:rPr>
        <w:t xml:space="preserve">narrow </w:t>
      </w:r>
      <w:r>
        <w:rPr>
          <w:lang w:eastAsia="en-GB"/>
        </w:rPr>
        <w:t>marginally</w:t>
      </w:r>
      <w:r w:rsidRPr="0077606A">
        <w:rPr>
          <w:lang w:eastAsia="en-GB"/>
        </w:rPr>
        <w:t xml:space="preserve"> </w:t>
      </w:r>
      <w:r>
        <w:rPr>
          <w:lang w:eastAsia="en-GB"/>
        </w:rPr>
        <w:t xml:space="preserve">but the pay gap and </w:t>
      </w:r>
      <w:r w:rsidR="009C3591" w:rsidRPr="0077606A">
        <w:rPr>
          <w:lang w:eastAsia="en-GB"/>
        </w:rPr>
        <w:t xml:space="preserve">quality of employment outcomes for disabled people </w:t>
      </w:r>
      <w:r w:rsidR="009C3591">
        <w:rPr>
          <w:lang w:eastAsia="en-GB"/>
        </w:rPr>
        <w:t xml:space="preserve">continues to </w:t>
      </w:r>
      <w:r w:rsidR="009C3591" w:rsidRPr="0077606A">
        <w:rPr>
          <w:lang w:eastAsia="en-GB"/>
        </w:rPr>
        <w:t>lag behind</w:t>
      </w:r>
      <w:r>
        <w:rPr>
          <w:lang w:eastAsia="en-GB"/>
        </w:rPr>
        <w:t>. E</w:t>
      </w:r>
      <w:r w:rsidR="009C3591" w:rsidRPr="0077606A">
        <w:rPr>
          <w:lang w:eastAsia="en-GB"/>
        </w:rPr>
        <w:t xml:space="preserve">ducational attainment does not have the same protective effect on future employment and income </w:t>
      </w:r>
      <w:r w:rsidR="009C3591">
        <w:rPr>
          <w:lang w:eastAsia="en-GB"/>
        </w:rPr>
        <w:t>for</w:t>
      </w:r>
      <w:r w:rsidR="009C3591" w:rsidRPr="0077606A">
        <w:rPr>
          <w:lang w:eastAsia="en-GB"/>
        </w:rPr>
        <w:t xml:space="preserve"> disabled people as </w:t>
      </w:r>
      <w:r w:rsidR="009C3591">
        <w:rPr>
          <w:lang w:eastAsia="en-GB"/>
        </w:rPr>
        <w:t xml:space="preserve">it does </w:t>
      </w:r>
      <w:r w:rsidR="009C3591" w:rsidRPr="0077606A">
        <w:rPr>
          <w:lang w:eastAsia="en-GB"/>
        </w:rPr>
        <w:t>for the general population.</w:t>
      </w:r>
      <w:r w:rsidR="009C3591" w:rsidRPr="0077606A">
        <w:rPr>
          <w:rStyle w:val="FootnoteReference"/>
          <w:lang w:eastAsia="en-GB"/>
        </w:rPr>
        <w:footnoteReference w:id="106"/>
      </w:r>
      <w:r w:rsidR="009C3591" w:rsidRPr="0077606A">
        <w:rPr>
          <w:lang w:eastAsia="en-GB"/>
        </w:rPr>
        <w:t xml:space="preserve"> Delayed early leaving options in England, changes in the management of individual student planning</w:t>
      </w:r>
      <w:r>
        <w:rPr>
          <w:lang w:eastAsia="en-GB"/>
        </w:rPr>
        <w:t xml:space="preserve"> </w:t>
      </w:r>
      <w:r w:rsidR="009C3591" w:rsidRPr="0077606A">
        <w:rPr>
          <w:lang w:eastAsia="en-GB"/>
        </w:rPr>
        <w:t xml:space="preserve">and Disabled Students Allowance </w:t>
      </w:r>
      <w:r>
        <w:rPr>
          <w:lang w:eastAsia="en-GB"/>
        </w:rPr>
        <w:t xml:space="preserve">pose risks to </w:t>
      </w:r>
      <w:r w:rsidR="009C3591" w:rsidRPr="0077606A">
        <w:rPr>
          <w:lang w:eastAsia="en-GB"/>
        </w:rPr>
        <w:t>educational outcomes.</w:t>
      </w:r>
    </w:p>
    <w:p w14:paraId="687859F2" w14:textId="77777777" w:rsidR="00C95E76" w:rsidRDefault="00C95E76" w:rsidP="0016304F">
      <w:pPr>
        <w:spacing w:after="0"/>
        <w:rPr>
          <w:lang w:eastAsia="en-GB"/>
        </w:rPr>
      </w:pPr>
    </w:p>
    <w:p w14:paraId="69BBCB69" w14:textId="2D7FB57C" w:rsidR="00561619" w:rsidRDefault="009C3591" w:rsidP="0016304F">
      <w:pPr>
        <w:spacing w:after="0"/>
        <w:rPr>
          <w:lang w:eastAsia="en-GB"/>
        </w:rPr>
      </w:pPr>
      <w:r w:rsidRPr="0077606A">
        <w:rPr>
          <w:lang w:eastAsia="en-GB"/>
        </w:rPr>
        <w:t xml:space="preserve">Low work intensity among disabled people and their families is </w:t>
      </w:r>
      <w:r w:rsidR="00085F0A">
        <w:rPr>
          <w:lang w:eastAsia="en-GB"/>
        </w:rPr>
        <w:t>the main</w:t>
      </w:r>
      <w:r w:rsidR="00085F0A" w:rsidRPr="0077606A">
        <w:rPr>
          <w:lang w:eastAsia="en-GB"/>
        </w:rPr>
        <w:t xml:space="preserve"> </w:t>
      </w:r>
      <w:r w:rsidRPr="0077606A">
        <w:rPr>
          <w:lang w:eastAsia="en-GB"/>
        </w:rPr>
        <w:t>predictor of overall poverty risk, and</w:t>
      </w:r>
      <w:r w:rsidR="00085F0A">
        <w:rPr>
          <w:lang w:eastAsia="en-GB"/>
        </w:rPr>
        <w:t xml:space="preserve"> this is</w:t>
      </w:r>
      <w:r w:rsidRPr="0077606A">
        <w:rPr>
          <w:lang w:eastAsia="en-GB"/>
        </w:rPr>
        <w:t xml:space="preserve"> consistent with </w:t>
      </w:r>
      <w:r w:rsidR="00085F0A">
        <w:rPr>
          <w:lang w:eastAsia="en-GB"/>
        </w:rPr>
        <w:t xml:space="preserve">the UK government’s renewed policy </w:t>
      </w:r>
      <w:r w:rsidR="00085F0A">
        <w:rPr>
          <w:lang w:eastAsia="en-GB"/>
        </w:rPr>
        <w:lastRenderedPageBreak/>
        <w:t xml:space="preserve">emphasis on </w:t>
      </w:r>
      <w:r w:rsidRPr="0077606A">
        <w:rPr>
          <w:lang w:eastAsia="en-GB"/>
        </w:rPr>
        <w:t xml:space="preserve">employment activation. </w:t>
      </w:r>
      <w:r w:rsidR="00085F0A">
        <w:rPr>
          <w:lang w:eastAsia="en-GB"/>
        </w:rPr>
        <w:t xml:space="preserve">Nevertheless, the measures are very unevenly weighted to exert pressure on disabled people to enter the labour market without balancing pressures on employers. </w:t>
      </w:r>
      <w:r w:rsidRPr="0077606A">
        <w:rPr>
          <w:lang w:eastAsia="en-GB"/>
        </w:rPr>
        <w:t xml:space="preserve">The </w:t>
      </w:r>
      <w:r>
        <w:rPr>
          <w:lang w:eastAsia="en-GB"/>
        </w:rPr>
        <w:t xml:space="preserve">effectiveness of the new </w:t>
      </w:r>
      <w:r w:rsidRPr="0077606A">
        <w:rPr>
          <w:lang w:eastAsia="en-GB"/>
        </w:rPr>
        <w:t xml:space="preserve">Work </w:t>
      </w:r>
      <w:r>
        <w:rPr>
          <w:lang w:eastAsia="en-GB"/>
        </w:rPr>
        <w:t xml:space="preserve">and Health </w:t>
      </w:r>
      <w:r w:rsidRPr="0077606A">
        <w:rPr>
          <w:lang w:eastAsia="en-GB"/>
        </w:rPr>
        <w:t xml:space="preserve">Programme and </w:t>
      </w:r>
      <w:r>
        <w:rPr>
          <w:lang w:eastAsia="en-GB"/>
        </w:rPr>
        <w:t>its</w:t>
      </w:r>
      <w:r w:rsidRPr="0077606A">
        <w:rPr>
          <w:lang w:eastAsia="en-GB"/>
        </w:rPr>
        <w:t xml:space="preserve"> interaction with reduced eligibility for disability benefits</w:t>
      </w:r>
      <w:r>
        <w:rPr>
          <w:lang w:eastAsia="en-GB"/>
        </w:rPr>
        <w:t xml:space="preserve"> will be critical to meeting the government’s </w:t>
      </w:r>
      <w:r w:rsidR="00561619">
        <w:rPr>
          <w:lang w:eastAsia="en-GB"/>
        </w:rPr>
        <w:t xml:space="preserve">aspirational disability employment </w:t>
      </w:r>
      <w:r>
        <w:rPr>
          <w:lang w:eastAsia="en-GB"/>
        </w:rPr>
        <w:t xml:space="preserve">target. </w:t>
      </w:r>
      <w:r w:rsidR="00561619">
        <w:rPr>
          <w:lang w:eastAsia="en-GB"/>
        </w:rPr>
        <w:t>There remains</w:t>
      </w:r>
      <w:r>
        <w:rPr>
          <w:lang w:eastAsia="en-GB"/>
        </w:rPr>
        <w:t xml:space="preserve"> no convincing evidence </w:t>
      </w:r>
      <w:r w:rsidR="00561619">
        <w:rPr>
          <w:lang w:eastAsia="en-GB"/>
        </w:rPr>
        <w:t>that</w:t>
      </w:r>
      <w:r>
        <w:rPr>
          <w:lang w:eastAsia="en-GB"/>
        </w:rPr>
        <w:t xml:space="preserve"> this can be achieved. </w:t>
      </w:r>
    </w:p>
    <w:p w14:paraId="5387FC40" w14:textId="77777777" w:rsidR="00561619" w:rsidRDefault="00561619" w:rsidP="0016304F">
      <w:pPr>
        <w:spacing w:after="0"/>
        <w:rPr>
          <w:lang w:eastAsia="en-GB"/>
        </w:rPr>
      </w:pPr>
    </w:p>
    <w:p w14:paraId="647F1240" w14:textId="48711393" w:rsidR="00561619" w:rsidRDefault="00561619" w:rsidP="0016304F">
      <w:pPr>
        <w:spacing w:after="0"/>
        <w:rPr>
          <w:lang w:eastAsia="en-GB"/>
        </w:rPr>
      </w:pPr>
      <w:r>
        <w:rPr>
          <w:lang w:eastAsia="en-GB"/>
        </w:rPr>
        <w:t>A</w:t>
      </w:r>
      <w:r w:rsidR="009C3591" w:rsidRPr="0077606A">
        <w:rPr>
          <w:lang w:eastAsia="en-GB"/>
        </w:rPr>
        <w:t xml:space="preserve"> policy approach that is hard on jobseekers and soft on employers, combined with </w:t>
      </w:r>
      <w:r>
        <w:rPr>
          <w:lang w:eastAsia="en-GB"/>
        </w:rPr>
        <w:t xml:space="preserve">the consequences of </w:t>
      </w:r>
      <w:r w:rsidR="009C3591" w:rsidRPr="0077606A">
        <w:rPr>
          <w:lang w:eastAsia="en-GB"/>
        </w:rPr>
        <w:t xml:space="preserve">welfare reforms, </w:t>
      </w:r>
      <w:r w:rsidR="009C3591">
        <w:rPr>
          <w:lang w:eastAsia="en-GB"/>
        </w:rPr>
        <w:t>has</w:t>
      </w:r>
      <w:r w:rsidR="009C3591" w:rsidRPr="0077606A">
        <w:rPr>
          <w:lang w:eastAsia="en-GB"/>
        </w:rPr>
        <w:t xml:space="preserve"> penalised disabled people of working age disproportionately while devolving responsibilities for their protection from central government towards employers, service providers and disabled people themselves. </w:t>
      </w:r>
    </w:p>
    <w:p w14:paraId="72257850" w14:textId="77777777" w:rsidR="00561619" w:rsidRDefault="00561619" w:rsidP="0016304F">
      <w:pPr>
        <w:spacing w:after="0"/>
        <w:rPr>
          <w:lang w:eastAsia="en-GB"/>
        </w:rPr>
      </w:pPr>
    </w:p>
    <w:p w14:paraId="0F793128" w14:textId="77777777" w:rsidR="00C95E76" w:rsidRDefault="00C95E76" w:rsidP="0016304F">
      <w:pPr>
        <w:spacing w:after="0"/>
        <w:rPr>
          <w:lang w:eastAsia="en-GB"/>
        </w:rPr>
      </w:pPr>
    </w:p>
    <w:p w14:paraId="4DE2CF51" w14:textId="77777777" w:rsidR="001E4166" w:rsidRPr="0077606A" w:rsidRDefault="001E4166" w:rsidP="0016304F">
      <w:pPr>
        <w:spacing w:after="0"/>
        <w:rPr>
          <w:rFonts w:eastAsia="SimSun"/>
          <w:lang w:eastAsia="en-GB"/>
        </w:rPr>
      </w:pPr>
    </w:p>
    <w:p w14:paraId="11383B22" w14:textId="77777777" w:rsidR="0010423F" w:rsidRDefault="004D01C6" w:rsidP="0016304F">
      <w:pPr>
        <w:pStyle w:val="Heading1"/>
        <w:rPr>
          <w:lang w:eastAsia="en-GB"/>
        </w:rPr>
      </w:pPr>
      <w:bookmarkStart w:id="22" w:name="_Toc511056650"/>
      <w:r w:rsidRPr="0077606A">
        <w:rPr>
          <w:lang w:eastAsia="en-GB"/>
        </w:rPr>
        <w:lastRenderedPageBreak/>
        <w:t>Review of the European Semester from a</w:t>
      </w:r>
      <w:r w:rsidR="001E4166" w:rsidRPr="0077606A">
        <w:rPr>
          <w:lang w:eastAsia="en-GB"/>
        </w:rPr>
        <w:t xml:space="preserve"> disability perspective</w:t>
      </w:r>
      <w:bookmarkEnd w:id="22"/>
    </w:p>
    <w:p w14:paraId="35413FA0" w14:textId="77777777" w:rsidR="006E64BE" w:rsidRPr="006E64BE" w:rsidRDefault="006E64BE" w:rsidP="0016304F">
      <w:pPr>
        <w:spacing w:after="0"/>
        <w:rPr>
          <w:lang w:eastAsia="en-GB"/>
        </w:rPr>
      </w:pPr>
    </w:p>
    <w:p w14:paraId="2332A06A" w14:textId="77777777" w:rsidR="001E4166" w:rsidRDefault="006B7206" w:rsidP="0016304F">
      <w:pPr>
        <w:pStyle w:val="Heading2"/>
        <w:spacing w:after="0"/>
        <w:rPr>
          <w:szCs w:val="24"/>
        </w:rPr>
      </w:pPr>
      <w:bookmarkStart w:id="23" w:name="_Toc511056651"/>
      <w:r w:rsidRPr="0077606A">
        <w:rPr>
          <w:szCs w:val="24"/>
        </w:rPr>
        <w:t>Progress on disability</w:t>
      </w:r>
      <w:r w:rsidR="00A14F67" w:rsidRPr="0077606A">
        <w:rPr>
          <w:szCs w:val="24"/>
        </w:rPr>
        <w:t xml:space="preserve">-specific </w:t>
      </w:r>
      <w:r w:rsidR="001E4166" w:rsidRPr="0077606A">
        <w:rPr>
          <w:szCs w:val="24"/>
        </w:rPr>
        <w:t xml:space="preserve">Country </w:t>
      </w:r>
      <w:r w:rsidR="00FA5809" w:rsidRPr="0077606A">
        <w:rPr>
          <w:szCs w:val="24"/>
        </w:rPr>
        <w:t>S</w:t>
      </w:r>
      <w:r w:rsidR="001E4166" w:rsidRPr="0077606A">
        <w:rPr>
          <w:szCs w:val="24"/>
        </w:rPr>
        <w:t xml:space="preserve">pecific </w:t>
      </w:r>
      <w:r w:rsidR="00FA5809" w:rsidRPr="0077606A">
        <w:rPr>
          <w:szCs w:val="24"/>
        </w:rPr>
        <w:t>R</w:t>
      </w:r>
      <w:r w:rsidR="001E4166" w:rsidRPr="0077606A">
        <w:rPr>
          <w:szCs w:val="24"/>
        </w:rPr>
        <w:t>ecommendations (CSRs)</w:t>
      </w:r>
      <w:bookmarkEnd w:id="23"/>
    </w:p>
    <w:p w14:paraId="6840BA54" w14:textId="77777777" w:rsidR="006E64BE" w:rsidRPr="006E64BE" w:rsidRDefault="006E64BE" w:rsidP="0016304F">
      <w:pPr>
        <w:spacing w:after="0"/>
      </w:pPr>
    </w:p>
    <w:p w14:paraId="199A442E" w14:textId="4E2933BC" w:rsidR="00F26222" w:rsidRDefault="00F26222" w:rsidP="0016304F">
      <w:pPr>
        <w:spacing w:after="0"/>
        <w:rPr>
          <w:lang w:eastAsia="en-GB"/>
        </w:rPr>
      </w:pPr>
      <w:r>
        <w:rPr>
          <w:lang w:eastAsia="en-GB"/>
        </w:rPr>
        <w:t xml:space="preserve">As in the past two years there was </w:t>
      </w:r>
      <w:r w:rsidRPr="0077606A">
        <w:rPr>
          <w:lang w:eastAsia="en-GB"/>
        </w:rPr>
        <w:t>no reference to disabled people</w:t>
      </w:r>
      <w:r>
        <w:rPr>
          <w:lang w:eastAsia="en-GB"/>
        </w:rPr>
        <w:t>,</w:t>
      </w:r>
      <w:r w:rsidRPr="0077606A">
        <w:rPr>
          <w:lang w:eastAsia="en-GB"/>
        </w:rPr>
        <w:t xml:space="preserve"> </w:t>
      </w:r>
      <w:r>
        <w:rPr>
          <w:lang w:eastAsia="en-GB"/>
        </w:rPr>
        <w:t xml:space="preserve">or any other marginalised group, </w:t>
      </w:r>
      <w:r w:rsidRPr="0077606A">
        <w:rPr>
          <w:lang w:eastAsia="en-GB"/>
        </w:rPr>
        <w:t xml:space="preserve">in </w:t>
      </w:r>
      <w:r w:rsidR="009853D0">
        <w:rPr>
          <w:lang w:eastAsia="en-GB"/>
        </w:rPr>
        <w:t>the CSRs for the UK</w:t>
      </w:r>
      <w:r>
        <w:rPr>
          <w:lang w:eastAsia="en-GB"/>
        </w:rPr>
        <w:t xml:space="preserve"> although they </w:t>
      </w:r>
      <w:r w:rsidR="009853D0">
        <w:rPr>
          <w:lang w:eastAsia="en-GB"/>
        </w:rPr>
        <w:t xml:space="preserve">have </w:t>
      </w:r>
      <w:r w:rsidRPr="0077606A">
        <w:rPr>
          <w:lang w:eastAsia="en-GB"/>
        </w:rPr>
        <w:t>disability equality implications.</w:t>
      </w:r>
    </w:p>
    <w:p w14:paraId="4E36594C" w14:textId="77777777" w:rsidR="00F26222" w:rsidRDefault="00F26222" w:rsidP="0016304F">
      <w:pPr>
        <w:spacing w:after="0"/>
        <w:rPr>
          <w:lang w:eastAsia="en-GB"/>
        </w:rPr>
      </w:pPr>
    </w:p>
    <w:p w14:paraId="0AC011CD" w14:textId="397824B4" w:rsidR="00F26222" w:rsidRDefault="009853D0" w:rsidP="0016304F">
      <w:pPr>
        <w:spacing w:after="0"/>
        <w:rPr>
          <w:lang w:eastAsia="en-GB"/>
        </w:rPr>
      </w:pPr>
      <w:r>
        <w:rPr>
          <w:lang w:eastAsia="en-GB"/>
        </w:rPr>
        <w:t>In 2017 the</w:t>
      </w:r>
      <w:r w:rsidRPr="0077606A">
        <w:rPr>
          <w:lang w:eastAsia="en-GB"/>
        </w:rPr>
        <w:t xml:space="preserve"> </w:t>
      </w:r>
      <w:r w:rsidR="00D91CEC" w:rsidRPr="0077606A">
        <w:rPr>
          <w:lang w:eastAsia="en-GB"/>
        </w:rPr>
        <w:t>agreed CSRs for the UK include</w:t>
      </w:r>
      <w:r>
        <w:rPr>
          <w:lang w:eastAsia="en-GB"/>
        </w:rPr>
        <w:t>d</w:t>
      </w:r>
      <w:r w:rsidR="00D91CEC" w:rsidRPr="0077606A">
        <w:rPr>
          <w:lang w:eastAsia="en-GB"/>
        </w:rPr>
        <w:t xml:space="preserve"> three specific recommendations.</w:t>
      </w:r>
      <w:r w:rsidR="00CF12F1" w:rsidRPr="0077606A">
        <w:rPr>
          <w:rStyle w:val="FootnoteReference"/>
          <w:lang w:eastAsia="en-GB"/>
        </w:rPr>
        <w:footnoteReference w:id="107"/>
      </w:r>
      <w:r w:rsidR="00D91CEC" w:rsidRPr="0077606A">
        <w:rPr>
          <w:lang w:eastAsia="en-GB"/>
        </w:rPr>
        <w:t xml:space="preserve"> </w:t>
      </w:r>
      <w:r w:rsidR="00352AFA">
        <w:rPr>
          <w:lang w:eastAsia="en-GB"/>
        </w:rPr>
        <w:t>These are essentially the same as in 2015</w:t>
      </w:r>
      <w:r w:rsidR="00140B43">
        <w:rPr>
          <w:lang w:eastAsia="en-GB"/>
        </w:rPr>
        <w:t xml:space="preserve"> and 2016</w:t>
      </w:r>
      <w:r w:rsidR="00352AFA">
        <w:rPr>
          <w:lang w:eastAsia="en-GB"/>
        </w:rPr>
        <w:t>, covering</w:t>
      </w:r>
      <w:r w:rsidR="00D91CEC" w:rsidRPr="0077606A">
        <w:rPr>
          <w:lang w:eastAsia="en-GB"/>
        </w:rPr>
        <w:t xml:space="preserve"> </w:t>
      </w:r>
      <w:r w:rsidR="00BD0DBE">
        <w:rPr>
          <w:lang w:eastAsia="en-GB"/>
        </w:rPr>
        <w:t xml:space="preserve">(a) </w:t>
      </w:r>
      <w:r w:rsidR="00D91CEC" w:rsidRPr="0077606A">
        <w:rPr>
          <w:lang w:eastAsia="en-GB"/>
        </w:rPr>
        <w:t>continued action to</w:t>
      </w:r>
      <w:r w:rsidR="00140B43">
        <w:rPr>
          <w:lang w:eastAsia="en-GB"/>
        </w:rPr>
        <w:t xml:space="preserve">wards </w:t>
      </w:r>
      <w:r w:rsidR="00D91CEC" w:rsidRPr="0077606A">
        <w:rPr>
          <w:lang w:eastAsia="en-GB"/>
        </w:rPr>
        <w:t xml:space="preserve">sustainable </w:t>
      </w:r>
      <w:r w:rsidR="00140B43">
        <w:rPr>
          <w:lang w:eastAsia="en-GB"/>
        </w:rPr>
        <w:t>public finances</w:t>
      </w:r>
      <w:r w:rsidR="00D91CEC" w:rsidRPr="0077606A">
        <w:rPr>
          <w:lang w:eastAsia="en-GB"/>
        </w:rPr>
        <w:t xml:space="preserve">, </w:t>
      </w:r>
      <w:r w:rsidR="00BD0DBE">
        <w:rPr>
          <w:lang w:eastAsia="en-GB"/>
        </w:rPr>
        <w:t xml:space="preserve">(b) </w:t>
      </w:r>
      <w:r w:rsidR="00140B43">
        <w:rPr>
          <w:lang w:eastAsia="en-GB"/>
        </w:rPr>
        <w:t>planning reforms to increase</w:t>
      </w:r>
      <w:r w:rsidR="00352AFA">
        <w:rPr>
          <w:lang w:eastAsia="en-GB"/>
        </w:rPr>
        <w:t xml:space="preserve"> </w:t>
      </w:r>
      <w:r w:rsidR="00D91CEC" w:rsidRPr="0077606A">
        <w:rPr>
          <w:lang w:eastAsia="en-GB"/>
        </w:rPr>
        <w:t>housing supply</w:t>
      </w:r>
      <w:r w:rsidR="00352AFA" w:rsidRPr="0077606A">
        <w:rPr>
          <w:lang w:eastAsia="en-GB"/>
        </w:rPr>
        <w:t>,</w:t>
      </w:r>
      <w:r w:rsidR="00352AFA">
        <w:rPr>
          <w:lang w:eastAsia="en-GB"/>
        </w:rPr>
        <w:t xml:space="preserve"> and </w:t>
      </w:r>
      <w:r w:rsidR="00BD0DBE">
        <w:rPr>
          <w:lang w:eastAsia="en-GB"/>
        </w:rPr>
        <w:t xml:space="preserve">(c) </w:t>
      </w:r>
      <w:r w:rsidR="00D91CEC" w:rsidRPr="0077606A">
        <w:rPr>
          <w:lang w:eastAsia="en-GB"/>
        </w:rPr>
        <w:t>addressing skills through apprenticeships</w:t>
      </w:r>
      <w:r w:rsidR="00CF12F1" w:rsidRPr="0077606A">
        <w:rPr>
          <w:lang w:eastAsia="en-GB"/>
        </w:rPr>
        <w:t xml:space="preserve"> and </w:t>
      </w:r>
      <w:r w:rsidR="00140B43">
        <w:rPr>
          <w:lang w:eastAsia="en-GB"/>
        </w:rPr>
        <w:t>further education</w:t>
      </w:r>
      <w:r w:rsidR="00CF12F1" w:rsidRPr="0077606A">
        <w:rPr>
          <w:lang w:eastAsia="en-GB"/>
        </w:rPr>
        <w:t xml:space="preserve">. </w:t>
      </w:r>
      <w:r w:rsidR="00F26222">
        <w:rPr>
          <w:lang w:eastAsia="en-GB"/>
        </w:rPr>
        <w:t>The challenges of inactivity, part-time and low wage jobs are raised in the text, along with child care and social care.</w:t>
      </w:r>
    </w:p>
    <w:p w14:paraId="7B9BD547" w14:textId="77777777" w:rsidR="006E64BE" w:rsidRPr="0077606A" w:rsidRDefault="006E64BE" w:rsidP="0016304F">
      <w:pPr>
        <w:spacing w:after="0"/>
        <w:rPr>
          <w:lang w:eastAsia="en-GB"/>
        </w:rPr>
      </w:pPr>
    </w:p>
    <w:p w14:paraId="245210D6" w14:textId="77777777" w:rsidR="006B7206" w:rsidRDefault="00A14F67" w:rsidP="0016304F">
      <w:pPr>
        <w:pStyle w:val="Heading2"/>
        <w:spacing w:after="0"/>
        <w:rPr>
          <w:szCs w:val="24"/>
          <w:lang w:eastAsia="en-GB"/>
        </w:rPr>
      </w:pPr>
      <w:bookmarkStart w:id="24" w:name="_Toc511056652"/>
      <w:r w:rsidRPr="0077606A">
        <w:rPr>
          <w:szCs w:val="24"/>
          <w:lang w:eastAsia="en-GB"/>
        </w:rPr>
        <w:t>Progress on o</w:t>
      </w:r>
      <w:r w:rsidR="006B7206" w:rsidRPr="0077606A">
        <w:rPr>
          <w:szCs w:val="24"/>
          <w:lang w:eastAsia="en-GB"/>
        </w:rPr>
        <w:t xml:space="preserve">ther CSRs </w:t>
      </w:r>
      <w:r w:rsidRPr="0077606A">
        <w:rPr>
          <w:szCs w:val="24"/>
          <w:lang w:eastAsia="en-GB"/>
        </w:rPr>
        <w:t>from a</w:t>
      </w:r>
      <w:r w:rsidR="006B7206" w:rsidRPr="0077606A">
        <w:rPr>
          <w:szCs w:val="24"/>
          <w:lang w:eastAsia="en-GB"/>
        </w:rPr>
        <w:t xml:space="preserve"> disability perspective</w:t>
      </w:r>
      <w:bookmarkEnd w:id="24"/>
    </w:p>
    <w:p w14:paraId="7B5CA7F2" w14:textId="77777777" w:rsidR="006E64BE" w:rsidRPr="006E64BE" w:rsidRDefault="006E64BE" w:rsidP="0016304F">
      <w:pPr>
        <w:spacing w:after="0"/>
        <w:rPr>
          <w:lang w:eastAsia="en-GB"/>
        </w:rPr>
      </w:pPr>
    </w:p>
    <w:p w14:paraId="2CA3F6B0" w14:textId="516B170B" w:rsidR="004F0ABE" w:rsidRDefault="009853D0" w:rsidP="0016304F">
      <w:pPr>
        <w:spacing w:after="0"/>
        <w:rPr>
          <w:lang w:eastAsia="en-GB"/>
        </w:rPr>
      </w:pPr>
      <w:r>
        <w:rPr>
          <w:i/>
          <w:iCs/>
          <w:lang w:eastAsia="en-GB"/>
        </w:rPr>
        <w:t>Sustainable</w:t>
      </w:r>
      <w:r w:rsidR="00140B43">
        <w:rPr>
          <w:i/>
          <w:iCs/>
          <w:lang w:eastAsia="en-GB"/>
        </w:rPr>
        <w:t xml:space="preserve"> public finances</w:t>
      </w:r>
      <w:r w:rsidR="006E64BE">
        <w:rPr>
          <w:lang w:eastAsia="en-GB"/>
        </w:rPr>
        <w:t>:</w:t>
      </w:r>
    </w:p>
    <w:p w14:paraId="293B7683" w14:textId="77777777" w:rsidR="006E64BE" w:rsidRPr="0077606A" w:rsidRDefault="006E64BE" w:rsidP="0016304F">
      <w:pPr>
        <w:spacing w:after="0"/>
        <w:rPr>
          <w:lang w:eastAsia="en-GB"/>
        </w:rPr>
      </w:pPr>
    </w:p>
    <w:p w14:paraId="693E3862" w14:textId="386ECFC0" w:rsidR="007B15FB" w:rsidRDefault="00FE0667" w:rsidP="0016304F">
      <w:pPr>
        <w:spacing w:after="0"/>
        <w:rPr>
          <w:lang w:eastAsia="en-GB"/>
        </w:rPr>
      </w:pPr>
      <w:r w:rsidRPr="0077606A">
        <w:rPr>
          <w:lang w:eastAsia="en-GB"/>
        </w:rPr>
        <w:t>A</w:t>
      </w:r>
      <w:r w:rsidR="00CF12F1" w:rsidRPr="0077606A">
        <w:rPr>
          <w:lang w:eastAsia="en-GB"/>
        </w:rPr>
        <w:t xml:space="preserve">s </w:t>
      </w:r>
      <w:r w:rsidR="009853D0">
        <w:rPr>
          <w:lang w:eastAsia="en-GB"/>
        </w:rPr>
        <w:t xml:space="preserve">we have </w:t>
      </w:r>
      <w:r w:rsidR="00352AFA">
        <w:rPr>
          <w:lang w:eastAsia="en-GB"/>
        </w:rPr>
        <w:t xml:space="preserve">reported </w:t>
      </w:r>
      <w:r w:rsidR="009853D0">
        <w:rPr>
          <w:lang w:eastAsia="en-GB"/>
        </w:rPr>
        <w:t>in the past two years</w:t>
      </w:r>
      <w:r w:rsidR="00CF12F1" w:rsidRPr="0077606A">
        <w:rPr>
          <w:lang w:eastAsia="en-GB"/>
        </w:rPr>
        <w:t xml:space="preserve">, the UK </w:t>
      </w:r>
      <w:r w:rsidR="00E22176" w:rsidRPr="0077606A">
        <w:rPr>
          <w:lang w:eastAsia="en-GB"/>
        </w:rPr>
        <w:t>policy</w:t>
      </w:r>
      <w:r w:rsidR="00AC3289" w:rsidRPr="0077606A">
        <w:rPr>
          <w:lang w:eastAsia="en-GB"/>
        </w:rPr>
        <w:t xml:space="preserve"> approach to deficit management has </w:t>
      </w:r>
      <w:r w:rsidR="00CF12F1" w:rsidRPr="0077606A">
        <w:rPr>
          <w:lang w:eastAsia="en-GB"/>
        </w:rPr>
        <w:t>implications</w:t>
      </w:r>
      <w:r w:rsidR="00AC3289" w:rsidRPr="0077606A">
        <w:rPr>
          <w:lang w:eastAsia="en-GB"/>
        </w:rPr>
        <w:t xml:space="preserve"> for </w:t>
      </w:r>
      <w:r w:rsidR="00CF12F1" w:rsidRPr="0077606A">
        <w:rPr>
          <w:lang w:eastAsia="en-GB"/>
        </w:rPr>
        <w:t xml:space="preserve">the employment, education and social inclusion of disabled people. The most acute issues arise from the </w:t>
      </w:r>
      <w:r w:rsidR="009853D0">
        <w:rPr>
          <w:lang w:eastAsia="en-GB"/>
        </w:rPr>
        <w:t>systematic</w:t>
      </w:r>
      <w:r w:rsidR="009853D0" w:rsidRPr="0077606A">
        <w:rPr>
          <w:lang w:eastAsia="en-GB"/>
        </w:rPr>
        <w:t xml:space="preserve"> </w:t>
      </w:r>
      <w:r w:rsidR="009853D0">
        <w:rPr>
          <w:lang w:eastAsia="en-GB"/>
        </w:rPr>
        <w:t>reform of</w:t>
      </w:r>
      <w:r w:rsidR="00CF12F1" w:rsidRPr="0077606A">
        <w:rPr>
          <w:lang w:eastAsia="en-GB"/>
        </w:rPr>
        <w:t xml:space="preserve"> work and welfare </w:t>
      </w:r>
      <w:r w:rsidR="009853D0">
        <w:rPr>
          <w:lang w:eastAsia="en-GB"/>
        </w:rPr>
        <w:t>policies</w:t>
      </w:r>
      <w:r w:rsidR="00CF12F1" w:rsidRPr="0077606A">
        <w:rPr>
          <w:lang w:eastAsia="en-GB"/>
        </w:rPr>
        <w:t xml:space="preserve">, in which reduced eligibility for </w:t>
      </w:r>
      <w:r w:rsidR="00AC3289" w:rsidRPr="0077606A">
        <w:rPr>
          <w:lang w:eastAsia="en-GB"/>
        </w:rPr>
        <w:t>disability</w:t>
      </w:r>
      <w:r w:rsidR="00CF12F1" w:rsidRPr="0077606A">
        <w:rPr>
          <w:lang w:eastAsia="en-GB"/>
        </w:rPr>
        <w:t>-related welfare</w:t>
      </w:r>
      <w:r w:rsidR="00E22176" w:rsidRPr="0077606A">
        <w:rPr>
          <w:lang w:eastAsia="en-GB"/>
        </w:rPr>
        <w:t xml:space="preserve"> benefits </w:t>
      </w:r>
      <w:r w:rsidR="00BD0DBE">
        <w:rPr>
          <w:lang w:eastAsia="en-GB"/>
        </w:rPr>
        <w:t>has been a</w:t>
      </w:r>
      <w:r w:rsidR="00CF12F1" w:rsidRPr="0077606A">
        <w:rPr>
          <w:lang w:eastAsia="en-GB"/>
        </w:rPr>
        <w:t xml:space="preserve"> policy priority</w:t>
      </w:r>
      <w:r w:rsidR="009853D0">
        <w:rPr>
          <w:lang w:eastAsia="en-GB"/>
        </w:rPr>
        <w:t xml:space="preserve">. However, austerity measures have impacted very considerably on </w:t>
      </w:r>
      <w:r w:rsidR="00F22B4E" w:rsidRPr="0077606A">
        <w:rPr>
          <w:lang w:eastAsia="en-GB"/>
        </w:rPr>
        <w:t>r</w:t>
      </w:r>
      <w:r w:rsidR="00205467" w:rsidRPr="0077606A">
        <w:rPr>
          <w:lang w:eastAsia="en-GB"/>
        </w:rPr>
        <w:t xml:space="preserve">eductions in public funding for local </w:t>
      </w:r>
      <w:r w:rsidR="009853D0">
        <w:rPr>
          <w:lang w:eastAsia="en-GB"/>
        </w:rPr>
        <w:t>government</w:t>
      </w:r>
      <w:r w:rsidR="00205467" w:rsidRPr="0077606A">
        <w:rPr>
          <w:lang w:eastAsia="en-GB"/>
        </w:rPr>
        <w:t xml:space="preserve">, </w:t>
      </w:r>
      <w:r w:rsidR="009853D0">
        <w:rPr>
          <w:lang w:eastAsia="en-GB"/>
        </w:rPr>
        <w:t>translated into widespread c</w:t>
      </w:r>
      <w:r w:rsidR="00F22B4E" w:rsidRPr="0077606A">
        <w:rPr>
          <w:lang w:eastAsia="en-GB"/>
        </w:rPr>
        <w:t xml:space="preserve">uts to </w:t>
      </w:r>
      <w:r w:rsidR="009853D0">
        <w:rPr>
          <w:lang w:eastAsia="en-GB"/>
        </w:rPr>
        <w:t>community based</w:t>
      </w:r>
      <w:r w:rsidR="009853D0" w:rsidRPr="0077606A">
        <w:rPr>
          <w:lang w:eastAsia="en-GB"/>
        </w:rPr>
        <w:t xml:space="preserve"> </w:t>
      </w:r>
      <w:r w:rsidR="00205467" w:rsidRPr="0077606A">
        <w:rPr>
          <w:lang w:eastAsia="en-GB"/>
        </w:rPr>
        <w:t>support services</w:t>
      </w:r>
      <w:r w:rsidR="00CF12F1" w:rsidRPr="0077606A">
        <w:rPr>
          <w:lang w:eastAsia="en-GB"/>
        </w:rPr>
        <w:t>.</w:t>
      </w:r>
      <w:r w:rsidR="00BE0196" w:rsidRPr="0077606A">
        <w:rPr>
          <w:lang w:eastAsia="en-GB"/>
        </w:rPr>
        <w:t xml:space="preserve"> </w:t>
      </w:r>
      <w:r w:rsidR="00352AFA">
        <w:rPr>
          <w:lang w:eastAsia="en-GB"/>
        </w:rPr>
        <w:t xml:space="preserve">The </w:t>
      </w:r>
      <w:r w:rsidR="009853D0">
        <w:rPr>
          <w:lang w:eastAsia="en-GB"/>
        </w:rPr>
        <w:t>escalating</w:t>
      </w:r>
      <w:r w:rsidR="00352AFA">
        <w:rPr>
          <w:lang w:eastAsia="en-GB"/>
        </w:rPr>
        <w:t xml:space="preserve"> risk of a post-Brexit economic slowdown compound</w:t>
      </w:r>
      <w:r w:rsidR="00BD0DBE">
        <w:rPr>
          <w:lang w:eastAsia="en-GB"/>
        </w:rPr>
        <w:t>s</w:t>
      </w:r>
      <w:r w:rsidR="00352AFA">
        <w:rPr>
          <w:lang w:eastAsia="en-GB"/>
        </w:rPr>
        <w:t xml:space="preserve"> the</w:t>
      </w:r>
      <w:r w:rsidR="009853D0">
        <w:rPr>
          <w:lang w:eastAsia="en-GB"/>
        </w:rPr>
        <w:t xml:space="preserve"> collateral </w:t>
      </w:r>
      <w:r w:rsidR="00352AFA">
        <w:rPr>
          <w:lang w:eastAsia="en-GB"/>
        </w:rPr>
        <w:t>risks</w:t>
      </w:r>
      <w:r w:rsidR="009853D0">
        <w:rPr>
          <w:lang w:eastAsia="en-GB"/>
        </w:rPr>
        <w:t xml:space="preserve"> to already marginalised groups and there is strong evidence that disabled people have been among the hardest hit</w:t>
      </w:r>
      <w:r w:rsidR="00352AFA">
        <w:rPr>
          <w:lang w:eastAsia="en-GB"/>
        </w:rPr>
        <w:t>.</w:t>
      </w:r>
    </w:p>
    <w:p w14:paraId="4F69D427" w14:textId="77777777" w:rsidR="009853D0" w:rsidRDefault="009853D0" w:rsidP="0016304F">
      <w:pPr>
        <w:spacing w:after="0"/>
        <w:rPr>
          <w:lang w:eastAsia="en-GB"/>
        </w:rPr>
      </w:pPr>
    </w:p>
    <w:p w14:paraId="1305FBAB" w14:textId="77777777" w:rsidR="006E64BE" w:rsidRPr="0077606A" w:rsidRDefault="006E64BE" w:rsidP="0016304F">
      <w:pPr>
        <w:spacing w:after="0"/>
        <w:rPr>
          <w:lang w:eastAsia="en-GB"/>
        </w:rPr>
      </w:pPr>
    </w:p>
    <w:p w14:paraId="51F04EA6" w14:textId="77777777" w:rsidR="008C466F" w:rsidRDefault="008C466F" w:rsidP="0016304F">
      <w:pPr>
        <w:spacing w:after="0"/>
        <w:rPr>
          <w:lang w:eastAsia="en-GB"/>
        </w:rPr>
      </w:pPr>
      <w:r w:rsidRPr="0077606A">
        <w:rPr>
          <w:lang w:eastAsia="en-GB"/>
        </w:rPr>
        <w:t xml:space="preserve">A </w:t>
      </w:r>
      <w:r>
        <w:rPr>
          <w:lang w:eastAsia="en-GB"/>
        </w:rPr>
        <w:t xml:space="preserve">2013 </w:t>
      </w:r>
      <w:r w:rsidRPr="0077606A">
        <w:rPr>
          <w:lang w:eastAsia="en-GB"/>
        </w:rPr>
        <w:t>report from the Centre for Welfare Reform summarise</w:t>
      </w:r>
      <w:r>
        <w:rPr>
          <w:lang w:eastAsia="en-GB"/>
        </w:rPr>
        <w:t>d</w:t>
      </w:r>
      <w:r w:rsidRPr="0077606A">
        <w:rPr>
          <w:lang w:eastAsia="en-GB"/>
        </w:rPr>
        <w:t xml:space="preserve"> how spending cuts targeted disabled people disproportionately.</w:t>
      </w:r>
      <w:r w:rsidRPr="0077606A">
        <w:rPr>
          <w:rStyle w:val="FootnoteReference"/>
          <w:lang w:eastAsia="en-GB"/>
        </w:rPr>
        <w:footnoteReference w:id="108"/>
      </w:r>
      <w:r w:rsidRPr="0077606A">
        <w:rPr>
          <w:lang w:eastAsia="en-GB"/>
        </w:rPr>
        <w:t xml:space="preserve"> </w:t>
      </w:r>
      <w:r>
        <w:rPr>
          <w:lang w:eastAsia="en-GB"/>
        </w:rPr>
        <w:t>Its</w:t>
      </w:r>
      <w:r w:rsidRPr="0077606A">
        <w:rPr>
          <w:lang w:eastAsia="en-GB"/>
        </w:rPr>
        <w:t xml:space="preserve"> headline findings suggest</w:t>
      </w:r>
      <w:r>
        <w:rPr>
          <w:lang w:eastAsia="en-GB"/>
        </w:rPr>
        <w:t>ed</w:t>
      </w:r>
      <w:r w:rsidRPr="0077606A">
        <w:rPr>
          <w:lang w:eastAsia="en-GB"/>
        </w:rPr>
        <w:t xml:space="preserve"> that ‘Disabled people (8% of the population) bear 29% of all cuts’ and that ‘People with severest disabilities (2% of the whole population) bear 15% of</w:t>
      </w:r>
      <w:r>
        <w:rPr>
          <w:lang w:eastAsia="en-GB"/>
        </w:rPr>
        <w:t xml:space="preserve"> all cuts’ (p. 6). Further, it </w:t>
      </w:r>
      <w:r w:rsidRPr="0077606A">
        <w:rPr>
          <w:lang w:eastAsia="en-GB"/>
        </w:rPr>
        <w:t>estimate</w:t>
      </w:r>
      <w:r>
        <w:rPr>
          <w:lang w:eastAsia="en-GB"/>
        </w:rPr>
        <w:t>d</w:t>
      </w:r>
      <w:r w:rsidRPr="0077606A">
        <w:rPr>
          <w:lang w:eastAsia="en-GB"/>
        </w:rPr>
        <w:t xml:space="preserve"> that ‘Disabled people will lose an average of £4,410 per person - this is 9 times more than the burden placed on most other citizens’ and that ‘People with severe disabilities will lose an average of £8,832 per person - this is 19 times more than the burden placed on most other citizens’ (p. 7).</w:t>
      </w:r>
    </w:p>
    <w:p w14:paraId="03BFE071" w14:textId="77777777" w:rsidR="008C466F" w:rsidRDefault="008C466F" w:rsidP="0016304F">
      <w:pPr>
        <w:spacing w:after="0"/>
        <w:rPr>
          <w:lang w:eastAsia="en-GB"/>
        </w:rPr>
      </w:pPr>
    </w:p>
    <w:p w14:paraId="67949075" w14:textId="55538CA6" w:rsidR="00F22B4E" w:rsidRDefault="008C466F" w:rsidP="0016304F">
      <w:pPr>
        <w:spacing w:after="0"/>
        <w:rPr>
          <w:lang w:eastAsia="en-GB"/>
        </w:rPr>
      </w:pPr>
      <w:r>
        <w:rPr>
          <w:lang w:eastAsia="en-GB"/>
        </w:rPr>
        <w:t>In 2014 the</w:t>
      </w:r>
      <w:r w:rsidRPr="0077606A">
        <w:rPr>
          <w:lang w:eastAsia="en-GB"/>
        </w:rPr>
        <w:t xml:space="preserve"> </w:t>
      </w:r>
      <w:r w:rsidR="00F22B4E" w:rsidRPr="0077606A">
        <w:rPr>
          <w:lang w:eastAsia="en-GB"/>
        </w:rPr>
        <w:t xml:space="preserve">Just Fair Consortium </w:t>
      </w:r>
      <w:r w:rsidR="009853D0">
        <w:rPr>
          <w:lang w:eastAsia="en-GB"/>
        </w:rPr>
        <w:t xml:space="preserve">previously </w:t>
      </w:r>
      <w:r w:rsidR="00F22B4E" w:rsidRPr="0077606A">
        <w:rPr>
          <w:lang w:eastAsia="en-GB"/>
        </w:rPr>
        <w:t>published a review of disability equality issues under austerity in the context of the UNCRPD.</w:t>
      </w:r>
      <w:r w:rsidR="00F22B4E" w:rsidRPr="0077606A">
        <w:rPr>
          <w:rStyle w:val="FootnoteReference"/>
          <w:lang w:eastAsia="en-GB"/>
        </w:rPr>
        <w:footnoteReference w:id="109"/>
      </w:r>
      <w:r w:rsidR="00F22B4E" w:rsidRPr="0077606A">
        <w:rPr>
          <w:lang w:eastAsia="en-GB"/>
        </w:rPr>
        <w:t xml:space="preserve"> This include</w:t>
      </w:r>
      <w:r w:rsidR="009853D0">
        <w:rPr>
          <w:lang w:eastAsia="en-GB"/>
        </w:rPr>
        <w:t>d</w:t>
      </w:r>
      <w:r w:rsidR="00F22B4E" w:rsidRPr="0077606A">
        <w:rPr>
          <w:lang w:eastAsia="en-GB"/>
        </w:rPr>
        <w:t xml:space="preserve"> an analysis of the combined effects of housing, welfare and public spending reforms</w:t>
      </w:r>
      <w:r w:rsidR="009853D0">
        <w:rPr>
          <w:lang w:eastAsia="en-GB"/>
        </w:rPr>
        <w:t xml:space="preserve"> at that time</w:t>
      </w:r>
      <w:r w:rsidR="00F22B4E" w:rsidRPr="0077606A">
        <w:rPr>
          <w:lang w:eastAsia="en-GB"/>
        </w:rPr>
        <w:t xml:space="preserve">. It drew attention to the impact of austerity-based policies on Articles 27 and 28 UNCRPD (and Articles 6, 7, 9 and 11 ICESCR). In particular, it called for a more </w:t>
      </w:r>
      <w:r w:rsidR="00F22B4E" w:rsidRPr="0077606A">
        <w:rPr>
          <w:lang w:eastAsia="en-GB"/>
        </w:rPr>
        <w:lastRenderedPageBreak/>
        <w:t>evidence-based approach to disability policies and a more personalised support-oriented ethos to administration.</w:t>
      </w:r>
      <w:r w:rsidR="009853D0">
        <w:rPr>
          <w:lang w:eastAsia="en-GB"/>
        </w:rPr>
        <w:t xml:space="preserve"> Subsequent reforms since the election of the current government appear to have compounded rather than alleviated such concerns.</w:t>
      </w:r>
    </w:p>
    <w:p w14:paraId="4976C154" w14:textId="77777777" w:rsidR="006E64BE" w:rsidRPr="0077606A" w:rsidRDefault="006E64BE" w:rsidP="0016304F">
      <w:pPr>
        <w:spacing w:after="0"/>
        <w:rPr>
          <w:lang w:eastAsia="en-GB"/>
        </w:rPr>
      </w:pPr>
    </w:p>
    <w:p w14:paraId="3912DEB3" w14:textId="30884262" w:rsidR="008C466F" w:rsidRDefault="008C466F" w:rsidP="0016304F">
      <w:pPr>
        <w:spacing w:after="0"/>
        <w:rPr>
          <w:lang w:eastAsia="en-GB"/>
        </w:rPr>
      </w:pPr>
      <w:r>
        <w:rPr>
          <w:lang w:eastAsia="en-GB"/>
        </w:rPr>
        <w:t>In the past year, examples of the impacts of austerity have been widely witnessed in civil society shadow reports to the UN CRPD Committee (the UK has so far drawn more of such reports than any other country examined by the UN).</w:t>
      </w:r>
      <w:r>
        <w:rPr>
          <w:rStyle w:val="FootnoteReference"/>
          <w:lang w:eastAsia="en-GB"/>
        </w:rPr>
        <w:footnoteReference w:id="110"/>
      </w:r>
      <w:r>
        <w:rPr>
          <w:lang w:eastAsia="en-GB"/>
        </w:rPr>
        <w:t xml:space="preserve"> In its 2017 Concluding Observations the Committee drew specific attention to the ‘</w:t>
      </w:r>
      <w:r w:rsidRPr="009853D0">
        <w:rPr>
          <w:lang w:eastAsia="en-GB"/>
        </w:rPr>
        <w:t xml:space="preserve">impact of austerity measures and anti-poverty initiatives introduced as a consequence of the financial crisis in 2008/09, which resulted in severe economic constraints among persons with disabilities and their families, particularly families </w:t>
      </w:r>
      <w:r>
        <w:rPr>
          <w:lang w:eastAsia="en-GB"/>
        </w:rPr>
        <w:t>with children with disabilities’.</w:t>
      </w:r>
      <w:r>
        <w:rPr>
          <w:rStyle w:val="FootnoteReference"/>
          <w:lang w:eastAsia="en-GB"/>
        </w:rPr>
        <w:footnoteReference w:id="111"/>
      </w:r>
    </w:p>
    <w:p w14:paraId="76678875" w14:textId="77777777" w:rsidR="008C466F" w:rsidRDefault="008C466F" w:rsidP="0016304F">
      <w:pPr>
        <w:spacing w:after="0"/>
        <w:rPr>
          <w:lang w:eastAsia="en-GB"/>
        </w:rPr>
      </w:pPr>
    </w:p>
    <w:p w14:paraId="32FA1FF3" w14:textId="20384FF3" w:rsidR="00366F06" w:rsidRDefault="00140B43" w:rsidP="0016304F">
      <w:pPr>
        <w:spacing w:after="0"/>
        <w:rPr>
          <w:lang w:eastAsia="en-GB"/>
        </w:rPr>
      </w:pPr>
      <w:r>
        <w:rPr>
          <w:i/>
          <w:iCs/>
          <w:lang w:eastAsia="en-GB"/>
        </w:rPr>
        <w:t>Improving housing supply</w:t>
      </w:r>
      <w:r w:rsidR="00BE0196" w:rsidRPr="0077606A">
        <w:rPr>
          <w:lang w:eastAsia="en-GB"/>
        </w:rPr>
        <w:t xml:space="preserve">: </w:t>
      </w:r>
    </w:p>
    <w:p w14:paraId="19325FA8" w14:textId="77777777" w:rsidR="00C95E76" w:rsidRDefault="00C95E76" w:rsidP="0016304F">
      <w:pPr>
        <w:spacing w:after="0"/>
        <w:rPr>
          <w:lang w:eastAsia="en-GB"/>
        </w:rPr>
      </w:pPr>
    </w:p>
    <w:p w14:paraId="3C8C61EF" w14:textId="18732FC9" w:rsidR="00366F06" w:rsidRDefault="008C466F" w:rsidP="0016304F">
      <w:pPr>
        <w:spacing w:after="0"/>
        <w:rPr>
          <w:lang w:eastAsia="en-GB"/>
        </w:rPr>
      </w:pPr>
      <w:r>
        <w:rPr>
          <w:lang w:eastAsia="en-GB"/>
        </w:rPr>
        <w:t xml:space="preserve">In </w:t>
      </w:r>
      <w:r w:rsidR="00C95E76">
        <w:rPr>
          <w:lang w:eastAsia="en-GB"/>
        </w:rPr>
        <w:t>2015</w:t>
      </w:r>
      <w:r>
        <w:rPr>
          <w:lang w:eastAsia="en-GB"/>
        </w:rPr>
        <w:t xml:space="preserve"> we reported on this issue </w:t>
      </w:r>
      <w:r w:rsidR="00C95E76">
        <w:rPr>
          <w:lang w:eastAsia="en-GB"/>
        </w:rPr>
        <w:t xml:space="preserve">at some length in terms of </w:t>
      </w:r>
      <w:r w:rsidR="00366F06" w:rsidRPr="0077606A">
        <w:rPr>
          <w:lang w:eastAsia="en-GB"/>
        </w:rPr>
        <w:t xml:space="preserve">the </w:t>
      </w:r>
      <w:r w:rsidR="00C95E76">
        <w:rPr>
          <w:lang w:eastAsia="en-GB"/>
        </w:rPr>
        <w:t xml:space="preserve">2012 </w:t>
      </w:r>
      <w:r w:rsidR="00BE0196" w:rsidRPr="0077606A">
        <w:rPr>
          <w:lang w:eastAsia="en-GB"/>
        </w:rPr>
        <w:t>National Planning Policy Framework</w:t>
      </w:r>
      <w:r w:rsidR="00366F06" w:rsidRPr="0077606A">
        <w:rPr>
          <w:lang w:eastAsia="en-GB"/>
        </w:rPr>
        <w:t>, dating from 2012.</w:t>
      </w:r>
      <w:r w:rsidR="00366F06" w:rsidRPr="0077606A">
        <w:rPr>
          <w:rStyle w:val="FootnoteReference"/>
          <w:lang w:eastAsia="en-GB"/>
        </w:rPr>
        <w:footnoteReference w:id="112"/>
      </w:r>
      <w:r w:rsidR="00366F06" w:rsidRPr="0077606A">
        <w:rPr>
          <w:lang w:eastAsia="en-GB"/>
        </w:rPr>
        <w:t xml:space="preserve"> This guide</w:t>
      </w:r>
      <w:r w:rsidR="00C95E76">
        <w:rPr>
          <w:lang w:eastAsia="en-GB"/>
        </w:rPr>
        <w:t>s local</w:t>
      </w:r>
      <w:r w:rsidR="00366F06" w:rsidRPr="0077606A">
        <w:rPr>
          <w:lang w:eastAsia="en-GB"/>
        </w:rPr>
        <w:t xml:space="preserve"> planners to consider the needs of disabled people in relation to transport (para. 35), the mix of housing types (para. 50), and in preparing local authority Strategic Housing Market Assessments (para. 159)</w:t>
      </w:r>
      <w:r w:rsidR="003673A5" w:rsidRPr="0077606A">
        <w:rPr>
          <w:lang w:eastAsia="en-GB"/>
        </w:rPr>
        <w:t xml:space="preserve"> which form the basis for local housing plans.</w:t>
      </w:r>
      <w:r w:rsidR="00BE0291" w:rsidRPr="0077606A">
        <w:rPr>
          <w:lang w:eastAsia="en-GB"/>
        </w:rPr>
        <w:t xml:space="preserve"> </w:t>
      </w:r>
      <w:r w:rsidR="00276529" w:rsidRPr="0077606A">
        <w:rPr>
          <w:lang w:eastAsia="en-GB"/>
        </w:rPr>
        <w:t>The</w:t>
      </w:r>
      <w:r w:rsidR="00BB037E" w:rsidRPr="0077606A">
        <w:rPr>
          <w:lang w:eastAsia="en-GB"/>
        </w:rPr>
        <w:t>y</w:t>
      </w:r>
      <w:r w:rsidR="00276529" w:rsidRPr="0077606A">
        <w:rPr>
          <w:lang w:eastAsia="en-GB"/>
        </w:rPr>
        <w:t xml:space="preserve"> might, for example, take account of the need for </w:t>
      </w:r>
      <w:r w:rsidR="008028B4" w:rsidRPr="0077606A">
        <w:rPr>
          <w:lang w:eastAsia="en-GB"/>
        </w:rPr>
        <w:t xml:space="preserve">the updated </w:t>
      </w:r>
      <w:r w:rsidR="00276529" w:rsidRPr="0077606A">
        <w:rPr>
          <w:lang w:eastAsia="en-GB"/>
        </w:rPr>
        <w:t xml:space="preserve">Building Regulations </w:t>
      </w:r>
      <w:r w:rsidR="008028B4" w:rsidRPr="0077606A">
        <w:rPr>
          <w:lang w:eastAsia="en-GB"/>
        </w:rPr>
        <w:t xml:space="preserve">on </w:t>
      </w:r>
      <w:r w:rsidR="00276529" w:rsidRPr="0077606A">
        <w:rPr>
          <w:lang w:eastAsia="en-GB"/>
        </w:rPr>
        <w:t xml:space="preserve">Requirement M4.2 (accessible and adaptable dwellings) or M4.3 (wheelchair user dwellings). The </w:t>
      </w:r>
      <w:r w:rsidR="00BE0291" w:rsidRPr="0077606A">
        <w:rPr>
          <w:lang w:eastAsia="en-GB"/>
        </w:rPr>
        <w:t xml:space="preserve">Scottish government’s housing strategy </w:t>
      </w:r>
      <w:r w:rsidR="00BE0291" w:rsidRPr="0077606A">
        <w:rPr>
          <w:i/>
          <w:iCs/>
          <w:lang w:eastAsia="en-GB"/>
        </w:rPr>
        <w:t>Homes Fit for the 21st Century</w:t>
      </w:r>
      <w:r w:rsidR="00BE0291" w:rsidRPr="006E64BE">
        <w:rPr>
          <w:rStyle w:val="FootnoteReference"/>
          <w:iCs/>
          <w:lang w:eastAsia="en-GB"/>
        </w:rPr>
        <w:footnoteReference w:id="113"/>
      </w:r>
      <w:r w:rsidR="00BE0291" w:rsidRPr="006E64BE">
        <w:rPr>
          <w:iCs/>
          <w:lang w:eastAsia="en-GB"/>
        </w:rPr>
        <w:t xml:space="preserve"> </w:t>
      </w:r>
      <w:r w:rsidR="00BE0291" w:rsidRPr="0077606A">
        <w:rPr>
          <w:lang w:eastAsia="en-GB"/>
        </w:rPr>
        <w:t>also</w:t>
      </w:r>
      <w:r w:rsidR="00BE0291" w:rsidRPr="0077606A">
        <w:rPr>
          <w:i/>
          <w:iCs/>
          <w:lang w:eastAsia="en-GB"/>
        </w:rPr>
        <w:t xml:space="preserve"> </w:t>
      </w:r>
      <w:r w:rsidR="00BE0291" w:rsidRPr="0077606A">
        <w:rPr>
          <w:lang w:eastAsia="en-GB"/>
        </w:rPr>
        <w:t>included commitments to meet independent living needs, including both accessible and ‘specialist or adapted housing’.</w:t>
      </w:r>
      <w:r w:rsidR="008028B4" w:rsidRPr="0077606A">
        <w:rPr>
          <w:rStyle w:val="FootnoteReference"/>
          <w:lang w:eastAsia="en-GB"/>
        </w:rPr>
        <w:footnoteReference w:id="114"/>
      </w:r>
      <w:r w:rsidR="00BE0291" w:rsidRPr="0077606A">
        <w:rPr>
          <w:lang w:eastAsia="en-GB"/>
        </w:rPr>
        <w:t xml:space="preserve"> </w:t>
      </w:r>
    </w:p>
    <w:p w14:paraId="7095E69D" w14:textId="77777777" w:rsidR="006E64BE" w:rsidRDefault="006E64BE" w:rsidP="0016304F">
      <w:pPr>
        <w:spacing w:after="0"/>
        <w:rPr>
          <w:lang w:eastAsia="en-GB"/>
        </w:rPr>
      </w:pPr>
    </w:p>
    <w:p w14:paraId="41BCF83E" w14:textId="15FCE80C" w:rsidR="00C95E76" w:rsidRDefault="00C95E76" w:rsidP="0016304F">
      <w:pPr>
        <w:spacing w:after="0"/>
        <w:rPr>
          <w:lang w:eastAsia="en-GB"/>
        </w:rPr>
      </w:pPr>
      <w:r>
        <w:rPr>
          <w:lang w:eastAsia="en-GB"/>
        </w:rPr>
        <w:t>In 2016, the CSR highlight</w:t>
      </w:r>
      <w:r w:rsidR="008C466F">
        <w:rPr>
          <w:lang w:eastAsia="en-GB"/>
        </w:rPr>
        <w:t>ed</w:t>
      </w:r>
      <w:r>
        <w:rPr>
          <w:lang w:eastAsia="en-GB"/>
        </w:rPr>
        <w:t xml:space="preserve"> the </w:t>
      </w:r>
      <w:r w:rsidRPr="00C95E76">
        <w:rPr>
          <w:lang w:eastAsia="en-GB"/>
        </w:rPr>
        <w:t>National Infrastructure Pla</w:t>
      </w:r>
      <w:r>
        <w:rPr>
          <w:lang w:eastAsia="en-GB"/>
        </w:rPr>
        <w:t>n</w:t>
      </w:r>
      <w:r w:rsidR="008C466F">
        <w:rPr>
          <w:lang w:eastAsia="en-GB"/>
        </w:rPr>
        <w:t>. In 2017, our analysis remains the same.</w:t>
      </w:r>
    </w:p>
    <w:p w14:paraId="02CE552C" w14:textId="02CDA438" w:rsidR="00B33400" w:rsidRPr="0077606A" w:rsidRDefault="00B33400" w:rsidP="0016304F">
      <w:pPr>
        <w:spacing w:after="0"/>
        <w:rPr>
          <w:lang w:eastAsia="en-GB"/>
        </w:rPr>
      </w:pPr>
    </w:p>
    <w:p w14:paraId="40A63407" w14:textId="225EC66A" w:rsidR="004F0ABE" w:rsidRDefault="00F26222" w:rsidP="0016304F">
      <w:pPr>
        <w:spacing w:after="0"/>
        <w:rPr>
          <w:lang w:eastAsia="en-GB"/>
        </w:rPr>
      </w:pPr>
      <w:r>
        <w:rPr>
          <w:i/>
          <w:iCs/>
          <w:lang w:eastAsia="en-GB"/>
        </w:rPr>
        <w:t>Addressing</w:t>
      </w:r>
      <w:r w:rsidRPr="0077606A">
        <w:rPr>
          <w:i/>
          <w:iCs/>
          <w:lang w:eastAsia="en-GB"/>
        </w:rPr>
        <w:t xml:space="preserve"> </w:t>
      </w:r>
      <w:r w:rsidR="00BE0196" w:rsidRPr="0077606A">
        <w:rPr>
          <w:i/>
          <w:iCs/>
          <w:lang w:eastAsia="en-GB"/>
        </w:rPr>
        <w:t>skills mismatch</w:t>
      </w:r>
      <w:r>
        <w:rPr>
          <w:i/>
          <w:iCs/>
          <w:lang w:eastAsia="en-GB"/>
        </w:rPr>
        <w:t>es</w:t>
      </w:r>
      <w:r w:rsidR="00BE0196" w:rsidRPr="0077606A">
        <w:rPr>
          <w:lang w:eastAsia="en-GB"/>
        </w:rPr>
        <w:t xml:space="preserve">: </w:t>
      </w:r>
    </w:p>
    <w:p w14:paraId="22DF0339" w14:textId="77777777" w:rsidR="000C4D4A" w:rsidRDefault="000C4D4A" w:rsidP="0016304F">
      <w:pPr>
        <w:spacing w:after="0"/>
        <w:rPr>
          <w:lang w:eastAsia="en-GB"/>
        </w:rPr>
      </w:pPr>
    </w:p>
    <w:p w14:paraId="3FFFEDA0" w14:textId="0CDE5EEE" w:rsidR="008C466F" w:rsidRDefault="008C466F" w:rsidP="0016304F">
      <w:pPr>
        <w:spacing w:after="0"/>
        <w:rPr>
          <w:lang w:eastAsia="en-GB"/>
        </w:rPr>
      </w:pPr>
      <w:r>
        <w:rPr>
          <w:lang w:eastAsia="en-GB"/>
        </w:rPr>
        <w:t xml:space="preserve">As we reported in 2015 and 2016, this issue has become a perennial concern in the CSRs for the UK. The analysis presented earlier in </w:t>
      </w:r>
      <w:r w:rsidR="00B33400">
        <w:rPr>
          <w:lang w:eastAsia="en-GB"/>
        </w:rPr>
        <w:t xml:space="preserve">Section 4.2 </w:t>
      </w:r>
      <w:r>
        <w:rPr>
          <w:lang w:eastAsia="en-GB"/>
        </w:rPr>
        <w:t>evidences concerns about the significant segmentation of special schooling that persists in the UK, as highlighted by the UN CRPD Committee. It draws attention also to reforms of individual support payments, devolving responsibility from central government to educational providers</w:t>
      </w:r>
      <w:r w:rsidR="00B33400">
        <w:rPr>
          <w:lang w:eastAsia="en-GB"/>
        </w:rPr>
        <w:t xml:space="preserve">. </w:t>
      </w:r>
    </w:p>
    <w:p w14:paraId="7147CE7F" w14:textId="77777777" w:rsidR="008C466F" w:rsidRDefault="008C466F" w:rsidP="0016304F">
      <w:pPr>
        <w:spacing w:after="0"/>
        <w:rPr>
          <w:lang w:eastAsia="en-GB"/>
        </w:rPr>
      </w:pPr>
    </w:p>
    <w:p w14:paraId="4326CF7B" w14:textId="540805BC" w:rsidR="00A3147E" w:rsidRDefault="008C466F" w:rsidP="0016304F">
      <w:pPr>
        <w:spacing w:after="0"/>
      </w:pPr>
      <w:r>
        <w:rPr>
          <w:lang w:eastAsia="en-GB"/>
        </w:rPr>
        <w:lastRenderedPageBreak/>
        <w:t>The proportion of apprenticeship starters has risen slowly, although the number declined slightly last year. The</w:t>
      </w:r>
      <w:r w:rsidR="00A3147E">
        <w:rPr>
          <w:lang w:eastAsia="en-GB"/>
        </w:rPr>
        <w:t xml:space="preserve"> new </w:t>
      </w:r>
      <w:r w:rsidR="00A3147E" w:rsidRPr="00A3147E">
        <w:rPr>
          <w:lang w:eastAsia="en-GB"/>
        </w:rPr>
        <w:t>Institute for Apprenticeships</w:t>
      </w:r>
      <w:r w:rsidR="00A3147E">
        <w:rPr>
          <w:lang w:eastAsia="en-GB"/>
        </w:rPr>
        <w:t xml:space="preserve"> </w:t>
      </w:r>
      <w:r>
        <w:rPr>
          <w:lang w:eastAsia="en-GB"/>
        </w:rPr>
        <w:t>became</w:t>
      </w:r>
      <w:r w:rsidR="00A3147E">
        <w:rPr>
          <w:lang w:eastAsia="en-GB"/>
        </w:rPr>
        <w:t xml:space="preserve"> operational </w:t>
      </w:r>
      <w:r>
        <w:rPr>
          <w:lang w:eastAsia="en-GB"/>
        </w:rPr>
        <w:t xml:space="preserve">in </w:t>
      </w:r>
      <w:r w:rsidR="00A3147E">
        <w:rPr>
          <w:lang w:eastAsia="en-GB"/>
        </w:rPr>
        <w:t>2017</w:t>
      </w:r>
      <w:r w:rsidR="00A3147E">
        <w:t xml:space="preserve">. </w:t>
      </w:r>
      <w:r w:rsidR="003750B5">
        <w:t>Its website was launched in October 2017 but a search of key terms reveals no reference to disability.</w:t>
      </w:r>
      <w:r w:rsidR="003750B5">
        <w:rPr>
          <w:rStyle w:val="FootnoteReference"/>
        </w:rPr>
        <w:footnoteReference w:id="115"/>
      </w:r>
      <w:r w:rsidR="003750B5">
        <w:t xml:space="preserve"> </w:t>
      </w:r>
      <w:r w:rsidR="00A3147E">
        <w:t xml:space="preserve">The funding rules </w:t>
      </w:r>
      <w:r w:rsidR="003750B5">
        <w:t xml:space="preserve">also </w:t>
      </w:r>
      <w:r w:rsidR="00A3147E">
        <w:t>do not refer to equality or non-discrimination criteria</w:t>
      </w:r>
      <w:r w:rsidR="00A3147E">
        <w:rPr>
          <w:rStyle w:val="FootnoteReference"/>
        </w:rPr>
        <w:footnoteReference w:id="116"/>
      </w:r>
      <w:r w:rsidR="00A3147E">
        <w:t xml:space="preserve"> although it is clear that some of the occupation-specific Apprenticeship Standards include Commitment to Equality and Diversity as a competence.</w:t>
      </w:r>
      <w:r w:rsidR="00A3147E">
        <w:rPr>
          <w:rStyle w:val="FootnoteReference"/>
        </w:rPr>
        <w:footnoteReference w:id="117"/>
      </w:r>
      <w:r w:rsidR="003750B5" w:rsidRPr="003750B5">
        <w:t xml:space="preserve"> </w:t>
      </w:r>
      <w:r w:rsidR="003750B5">
        <w:t>The leading role envisaged for employers needs to be tempered with public assurances around equal opportunities.</w:t>
      </w:r>
    </w:p>
    <w:p w14:paraId="42F2717B" w14:textId="77777777" w:rsidR="006E64BE" w:rsidRDefault="006E64BE" w:rsidP="0016304F">
      <w:pPr>
        <w:spacing w:after="0"/>
        <w:rPr>
          <w:lang w:eastAsia="en-GB"/>
        </w:rPr>
      </w:pPr>
    </w:p>
    <w:p w14:paraId="3D31A412" w14:textId="1CEEC050" w:rsidR="00BB63C9" w:rsidRDefault="00A3147E" w:rsidP="0016304F">
      <w:pPr>
        <w:spacing w:after="0"/>
        <w:rPr>
          <w:lang w:eastAsia="en-GB"/>
        </w:rPr>
      </w:pPr>
      <w:r>
        <w:rPr>
          <w:lang w:eastAsia="en-GB"/>
        </w:rPr>
        <w:t xml:space="preserve">From April 2017 the funding basis for apprenticeships </w:t>
      </w:r>
      <w:r w:rsidR="003750B5">
        <w:rPr>
          <w:lang w:eastAsia="en-GB"/>
        </w:rPr>
        <w:t>changed</w:t>
      </w:r>
      <w:r>
        <w:rPr>
          <w:lang w:eastAsia="en-GB"/>
        </w:rPr>
        <w:t xml:space="preserve"> with the introduction of an ‘apprenticeship levy’ on large companies (as indicated in the 2016 NRP). Guidance </w:t>
      </w:r>
      <w:r w:rsidR="003750B5">
        <w:rPr>
          <w:lang w:eastAsia="en-GB"/>
        </w:rPr>
        <w:t>was</w:t>
      </w:r>
      <w:r>
        <w:rPr>
          <w:lang w:eastAsia="en-GB"/>
        </w:rPr>
        <w:t xml:space="preserve"> published </w:t>
      </w:r>
      <w:r w:rsidR="003D59D5">
        <w:rPr>
          <w:lang w:eastAsia="en-GB"/>
        </w:rPr>
        <w:t>and includes provision for ‘</w:t>
      </w:r>
      <w:r w:rsidR="003D59D5" w:rsidRPr="003D59D5">
        <w:rPr>
          <w:lang w:eastAsia="en-GB"/>
        </w:rPr>
        <w:t>Extra support for employing apprentices with additional needs</w:t>
      </w:r>
      <w:r w:rsidR="003D59D5">
        <w:rPr>
          <w:lang w:eastAsia="en-GB"/>
        </w:rPr>
        <w:t>’</w:t>
      </w:r>
      <w:r>
        <w:rPr>
          <w:lang w:eastAsia="en-GB"/>
        </w:rPr>
        <w:t>.</w:t>
      </w:r>
      <w:r>
        <w:rPr>
          <w:rStyle w:val="FootnoteReference"/>
          <w:lang w:eastAsia="en-GB"/>
        </w:rPr>
        <w:footnoteReference w:id="118"/>
      </w:r>
      <w:r>
        <w:rPr>
          <w:lang w:eastAsia="en-GB"/>
        </w:rPr>
        <w:t xml:space="preserve"> </w:t>
      </w:r>
      <w:r w:rsidR="003750B5">
        <w:rPr>
          <w:lang w:eastAsia="en-GB"/>
        </w:rPr>
        <w:t>Any</w:t>
      </w:r>
      <w:r w:rsidR="003D59D5">
        <w:rPr>
          <w:lang w:eastAsia="en-GB"/>
        </w:rPr>
        <w:t xml:space="preserve"> employer who recruits a </w:t>
      </w:r>
      <w:r w:rsidR="003D59D5" w:rsidRPr="003D59D5">
        <w:rPr>
          <w:lang w:eastAsia="en-GB"/>
        </w:rPr>
        <w:t>19-24</w:t>
      </w:r>
      <w:r w:rsidR="003D59D5">
        <w:rPr>
          <w:lang w:eastAsia="en-GB"/>
        </w:rPr>
        <w:t xml:space="preserve"> </w:t>
      </w:r>
      <w:r w:rsidR="003D59D5" w:rsidRPr="003D59D5">
        <w:rPr>
          <w:lang w:eastAsia="en-GB"/>
        </w:rPr>
        <w:t>year-old</w:t>
      </w:r>
      <w:r w:rsidR="003D59D5">
        <w:rPr>
          <w:lang w:eastAsia="en-GB"/>
        </w:rPr>
        <w:t xml:space="preserve"> with a local authority </w:t>
      </w:r>
      <w:r w:rsidR="003D59D5" w:rsidRPr="003D59D5">
        <w:rPr>
          <w:lang w:eastAsia="en-GB"/>
        </w:rPr>
        <w:t xml:space="preserve">education, health and care plan </w:t>
      </w:r>
      <w:r w:rsidR="003750B5">
        <w:rPr>
          <w:lang w:eastAsia="en-GB"/>
        </w:rPr>
        <w:t xml:space="preserve">(EHCP, as described earlier in Section 3.2) </w:t>
      </w:r>
      <w:r w:rsidR="003D59D5">
        <w:rPr>
          <w:lang w:eastAsia="en-GB"/>
        </w:rPr>
        <w:t>receive</w:t>
      </w:r>
      <w:r w:rsidR="003750B5">
        <w:rPr>
          <w:lang w:eastAsia="en-GB"/>
        </w:rPr>
        <w:t>s</w:t>
      </w:r>
      <w:r w:rsidR="003D59D5">
        <w:rPr>
          <w:lang w:eastAsia="en-GB"/>
        </w:rPr>
        <w:t xml:space="preserve"> the higher rate normally funded for 16-18 year-olds. In addition, the training provider </w:t>
      </w:r>
      <w:r w:rsidR="003750B5">
        <w:rPr>
          <w:lang w:eastAsia="en-GB"/>
        </w:rPr>
        <w:t xml:space="preserve">may </w:t>
      </w:r>
      <w:r w:rsidR="003D59D5">
        <w:rPr>
          <w:lang w:eastAsia="en-GB"/>
        </w:rPr>
        <w:t xml:space="preserve">receive a direct contribution to support the learning of any apprentice with additional learning needs. The </w:t>
      </w:r>
      <w:r w:rsidR="003750B5">
        <w:rPr>
          <w:lang w:eastAsia="en-GB"/>
        </w:rPr>
        <w:t xml:space="preserve">amount </w:t>
      </w:r>
      <w:r w:rsidR="003D59D5">
        <w:rPr>
          <w:lang w:eastAsia="en-GB"/>
        </w:rPr>
        <w:t xml:space="preserve">is </w:t>
      </w:r>
      <w:r w:rsidR="00477679">
        <w:rPr>
          <w:lang w:eastAsia="en-GB"/>
        </w:rPr>
        <w:t xml:space="preserve">up to £150 a month, ‘plus additional costs based on evidenced need’, which reflects </w:t>
      </w:r>
      <w:r w:rsidR="003750B5">
        <w:rPr>
          <w:lang w:eastAsia="en-GB"/>
        </w:rPr>
        <w:t xml:space="preserve">similar provision under the previous </w:t>
      </w:r>
      <w:r w:rsidR="00477679">
        <w:rPr>
          <w:lang w:eastAsia="en-GB"/>
        </w:rPr>
        <w:t>system</w:t>
      </w:r>
      <w:r w:rsidR="003D59D5">
        <w:rPr>
          <w:lang w:eastAsia="en-GB"/>
        </w:rPr>
        <w:t>.</w:t>
      </w:r>
      <w:r w:rsidR="003D59D5">
        <w:rPr>
          <w:rStyle w:val="FootnoteReference"/>
          <w:lang w:eastAsia="en-GB"/>
        </w:rPr>
        <w:footnoteReference w:id="119"/>
      </w:r>
    </w:p>
    <w:p w14:paraId="2E1E4287" w14:textId="77777777" w:rsidR="006B1CE6" w:rsidRPr="0077606A" w:rsidRDefault="006B1CE6" w:rsidP="0016304F">
      <w:pPr>
        <w:spacing w:after="0"/>
        <w:rPr>
          <w:lang w:eastAsia="en-GB"/>
        </w:rPr>
      </w:pPr>
    </w:p>
    <w:p w14:paraId="59EAF3C2" w14:textId="77777777" w:rsidR="006B7206" w:rsidRDefault="006B7206" w:rsidP="0016304F">
      <w:pPr>
        <w:pStyle w:val="Heading2"/>
        <w:spacing w:after="0"/>
        <w:rPr>
          <w:szCs w:val="24"/>
          <w:lang w:eastAsia="en-GB"/>
        </w:rPr>
      </w:pPr>
      <w:bookmarkStart w:id="25" w:name="_Toc511056653"/>
      <w:r w:rsidRPr="0077606A">
        <w:rPr>
          <w:szCs w:val="24"/>
          <w:lang w:eastAsia="en-GB"/>
        </w:rPr>
        <w:t xml:space="preserve">Assessment of disability issues in the </w:t>
      </w:r>
      <w:r w:rsidR="00A14F67" w:rsidRPr="0077606A">
        <w:rPr>
          <w:szCs w:val="24"/>
          <w:lang w:eastAsia="en-GB"/>
        </w:rPr>
        <w:t>Country Report</w:t>
      </w:r>
      <w:r w:rsidR="008D2A5F" w:rsidRPr="0077606A">
        <w:rPr>
          <w:szCs w:val="24"/>
          <w:lang w:eastAsia="en-GB"/>
        </w:rPr>
        <w:t xml:space="preserve"> (</w:t>
      </w:r>
      <w:r w:rsidR="00A14F67" w:rsidRPr="0077606A">
        <w:rPr>
          <w:szCs w:val="24"/>
          <w:lang w:eastAsia="en-GB"/>
        </w:rPr>
        <w:t>CR</w:t>
      </w:r>
      <w:r w:rsidR="008D2A5F" w:rsidRPr="0077606A">
        <w:rPr>
          <w:szCs w:val="24"/>
          <w:lang w:eastAsia="en-GB"/>
        </w:rPr>
        <w:t>)</w:t>
      </w:r>
      <w:bookmarkEnd w:id="25"/>
    </w:p>
    <w:p w14:paraId="25963497" w14:textId="77777777" w:rsidR="006E64BE" w:rsidRPr="006E64BE" w:rsidRDefault="006E64BE" w:rsidP="0016304F">
      <w:pPr>
        <w:spacing w:after="0"/>
        <w:rPr>
          <w:lang w:eastAsia="en-GB"/>
        </w:rPr>
      </w:pPr>
    </w:p>
    <w:p w14:paraId="6637A201" w14:textId="59BBFFC8" w:rsidR="00A063AB" w:rsidRDefault="00BD035A" w:rsidP="0016304F">
      <w:pPr>
        <w:spacing w:after="0"/>
        <w:rPr>
          <w:lang w:eastAsia="en-GB"/>
        </w:rPr>
      </w:pPr>
      <w:r w:rsidRPr="0077606A">
        <w:rPr>
          <w:lang w:eastAsia="en-GB"/>
        </w:rPr>
        <w:t>The 201</w:t>
      </w:r>
      <w:r w:rsidR="00EE61AB">
        <w:rPr>
          <w:lang w:eastAsia="en-GB"/>
        </w:rPr>
        <w:t>7</w:t>
      </w:r>
      <w:r w:rsidRPr="0077606A">
        <w:rPr>
          <w:lang w:eastAsia="en-GB"/>
        </w:rPr>
        <w:t xml:space="preserve"> Commission Staff Working Document</w:t>
      </w:r>
      <w:r w:rsidRPr="0077606A">
        <w:rPr>
          <w:rStyle w:val="FootnoteReference"/>
          <w:lang w:eastAsia="en-GB"/>
        </w:rPr>
        <w:footnoteReference w:id="120"/>
      </w:r>
      <w:r w:rsidRPr="0077606A">
        <w:rPr>
          <w:lang w:eastAsia="en-GB"/>
        </w:rPr>
        <w:t xml:space="preserve"> </w:t>
      </w:r>
      <w:r w:rsidR="00EE61AB">
        <w:rPr>
          <w:lang w:eastAsia="en-GB"/>
        </w:rPr>
        <w:t xml:space="preserve">acknowledged the ‘large disability employment gap in the UK’ as a counter to positive employment rate trends, using indicative data from EU-SILC (p. 24). </w:t>
      </w:r>
      <w:r w:rsidR="00E95C33">
        <w:rPr>
          <w:lang w:eastAsia="en-GB"/>
        </w:rPr>
        <w:t>This is a welcome addition, as the previous</w:t>
      </w:r>
      <w:r w:rsidR="00E95C33" w:rsidRPr="00E95C33">
        <w:rPr>
          <w:lang w:eastAsia="en-GB"/>
        </w:rPr>
        <w:t xml:space="preserve"> CR </w:t>
      </w:r>
      <w:r w:rsidR="00E95C33">
        <w:rPr>
          <w:lang w:eastAsia="en-GB"/>
        </w:rPr>
        <w:t>failed to identify this prominent anomaly. The link with long-term unemployment could also be mentioned.</w:t>
      </w:r>
    </w:p>
    <w:p w14:paraId="108B7DC1" w14:textId="77777777" w:rsidR="00A063AB" w:rsidRDefault="00A063AB" w:rsidP="0016304F">
      <w:pPr>
        <w:spacing w:after="0"/>
        <w:rPr>
          <w:lang w:eastAsia="en-GB"/>
        </w:rPr>
      </w:pPr>
    </w:p>
    <w:p w14:paraId="219E0C9A" w14:textId="092A13C4" w:rsidR="00EE61AB" w:rsidRDefault="00EE61AB" w:rsidP="0016304F">
      <w:pPr>
        <w:spacing w:after="0"/>
        <w:rPr>
          <w:lang w:eastAsia="en-GB"/>
        </w:rPr>
      </w:pPr>
      <w:r>
        <w:rPr>
          <w:lang w:eastAsia="en-GB"/>
        </w:rPr>
        <w:t>Similarly, it indicated the relatively high risk of</w:t>
      </w:r>
      <w:r w:rsidR="005B7BEC">
        <w:rPr>
          <w:lang w:eastAsia="en-GB"/>
        </w:rPr>
        <w:t xml:space="preserve"> </w:t>
      </w:r>
      <w:r>
        <w:rPr>
          <w:lang w:eastAsia="en-GB"/>
        </w:rPr>
        <w:t>poverty or social exclusion</w:t>
      </w:r>
      <w:r w:rsidR="005B7BEC">
        <w:rPr>
          <w:lang w:eastAsia="en-GB"/>
        </w:rPr>
        <w:t xml:space="preserve"> for disabled people, and the wide disability gap (p. 27). In this context, it is relevant to note the significant fall in % of GDP expenditure on disability social protection benefits indicated by Table C.3 of the </w:t>
      </w:r>
      <w:r w:rsidR="00E95C33">
        <w:rPr>
          <w:lang w:eastAsia="en-GB"/>
        </w:rPr>
        <w:t xml:space="preserve">2017 </w:t>
      </w:r>
      <w:r w:rsidR="005B7BEC">
        <w:rPr>
          <w:lang w:eastAsia="en-GB"/>
        </w:rPr>
        <w:t>Country Report (falling more than any other category for social protection in the period since 2010).</w:t>
      </w:r>
      <w:r w:rsidR="00A063AB" w:rsidRPr="00A063AB">
        <w:rPr>
          <w:lang w:eastAsia="en-GB"/>
        </w:rPr>
        <w:t xml:space="preserve"> </w:t>
      </w:r>
      <w:r w:rsidR="00A063AB">
        <w:rPr>
          <w:lang w:eastAsia="en-GB"/>
        </w:rPr>
        <w:t xml:space="preserve">Given the mounting evidence of international concerns about the impact of welfare reforms on disabled people in the UK, and </w:t>
      </w:r>
      <w:r w:rsidR="00A063AB" w:rsidRPr="0077606A">
        <w:rPr>
          <w:lang w:eastAsia="en-GB"/>
        </w:rPr>
        <w:t>the UN Committee’s recommendations to the EU on its responsibilities under Article 28 CRPD</w:t>
      </w:r>
      <w:r w:rsidR="00A063AB">
        <w:rPr>
          <w:lang w:eastAsia="en-GB"/>
        </w:rPr>
        <w:t>, it would be important to monitor this issue in the 2018 policy cycle</w:t>
      </w:r>
      <w:r w:rsidR="00A063AB" w:rsidRPr="0077606A">
        <w:rPr>
          <w:lang w:eastAsia="en-GB"/>
        </w:rPr>
        <w:t>.</w:t>
      </w:r>
    </w:p>
    <w:p w14:paraId="6852DC30" w14:textId="77777777" w:rsidR="00E1044F" w:rsidRDefault="00E1044F" w:rsidP="0016304F">
      <w:pPr>
        <w:spacing w:after="0"/>
        <w:rPr>
          <w:lang w:eastAsia="en-GB"/>
        </w:rPr>
      </w:pPr>
    </w:p>
    <w:p w14:paraId="69EF2DF2" w14:textId="73F976BB" w:rsidR="00435ACF" w:rsidRDefault="00E1044F" w:rsidP="0016304F">
      <w:pPr>
        <w:spacing w:after="0"/>
        <w:rPr>
          <w:lang w:eastAsia="en-GB"/>
        </w:rPr>
      </w:pPr>
      <w:r>
        <w:rPr>
          <w:lang w:eastAsia="en-GB"/>
        </w:rPr>
        <w:lastRenderedPageBreak/>
        <w:t>The</w:t>
      </w:r>
      <w:r w:rsidR="00A063AB">
        <w:rPr>
          <w:lang w:eastAsia="en-GB"/>
        </w:rPr>
        <w:t xml:space="preserve"> inclusion of k</w:t>
      </w:r>
      <w:r>
        <w:rPr>
          <w:lang w:eastAsia="en-GB"/>
        </w:rPr>
        <w:t xml:space="preserve">ey </w:t>
      </w:r>
      <w:r w:rsidR="00A063AB">
        <w:rPr>
          <w:lang w:eastAsia="en-GB"/>
        </w:rPr>
        <w:t xml:space="preserve">disability </w:t>
      </w:r>
      <w:r>
        <w:rPr>
          <w:lang w:eastAsia="en-GB"/>
        </w:rPr>
        <w:t xml:space="preserve">indicators </w:t>
      </w:r>
      <w:r w:rsidR="00A063AB">
        <w:rPr>
          <w:lang w:eastAsia="en-GB"/>
        </w:rPr>
        <w:t>is</w:t>
      </w:r>
      <w:r>
        <w:rPr>
          <w:lang w:eastAsia="en-GB"/>
        </w:rPr>
        <w:t xml:space="preserve"> welcome, particularly as the previous 2016 Country Report did not mention the key </w:t>
      </w:r>
      <w:r w:rsidR="00A063AB">
        <w:rPr>
          <w:lang w:eastAsia="en-GB"/>
        </w:rPr>
        <w:t>policy challenge</w:t>
      </w:r>
      <w:r>
        <w:rPr>
          <w:lang w:eastAsia="en-GB"/>
        </w:rPr>
        <w:t xml:space="preserve"> of </w:t>
      </w:r>
      <w:r w:rsidR="00A063AB">
        <w:rPr>
          <w:lang w:eastAsia="en-GB"/>
        </w:rPr>
        <w:t xml:space="preserve">closing </w:t>
      </w:r>
      <w:r>
        <w:rPr>
          <w:lang w:eastAsia="en-GB"/>
        </w:rPr>
        <w:t>the disability employment gap. On the other hand, the 201</w:t>
      </w:r>
      <w:r w:rsidR="00A063AB">
        <w:rPr>
          <w:lang w:eastAsia="en-GB"/>
        </w:rPr>
        <w:t xml:space="preserve">7 CR did not make any specific </w:t>
      </w:r>
      <w:r>
        <w:rPr>
          <w:lang w:eastAsia="en-GB"/>
        </w:rPr>
        <w:t xml:space="preserve">policy connections </w:t>
      </w:r>
      <w:r w:rsidR="00A063AB">
        <w:rPr>
          <w:lang w:eastAsia="en-GB"/>
        </w:rPr>
        <w:t>(e.g. the previous report made some connections with</w:t>
      </w:r>
      <w:r w:rsidR="00803478">
        <w:rPr>
          <w:lang w:eastAsia="en-GB"/>
        </w:rPr>
        <w:t xml:space="preserve"> affordable housing stock</w:t>
      </w:r>
      <w:r w:rsidR="00A063AB">
        <w:rPr>
          <w:lang w:eastAsia="en-GB"/>
        </w:rPr>
        <w:t xml:space="preserve"> and specific</w:t>
      </w:r>
      <w:r>
        <w:rPr>
          <w:lang w:eastAsia="en-GB"/>
        </w:rPr>
        <w:t xml:space="preserve"> </w:t>
      </w:r>
      <w:r w:rsidR="00803478">
        <w:rPr>
          <w:lang w:eastAsia="en-GB"/>
        </w:rPr>
        <w:t>benefit changes</w:t>
      </w:r>
      <w:r w:rsidR="00A063AB">
        <w:rPr>
          <w:lang w:eastAsia="en-GB"/>
        </w:rPr>
        <w:t>)</w:t>
      </w:r>
      <w:r w:rsidR="00803478">
        <w:rPr>
          <w:lang w:eastAsia="en-GB"/>
        </w:rPr>
        <w:t xml:space="preserve">. </w:t>
      </w:r>
      <w:r w:rsidR="00A063AB">
        <w:rPr>
          <w:lang w:eastAsia="en-GB"/>
        </w:rPr>
        <w:t xml:space="preserve">There is a need to mainstream both the situational </w:t>
      </w:r>
      <w:r w:rsidR="00E95C33">
        <w:rPr>
          <w:lang w:eastAsia="en-GB"/>
        </w:rPr>
        <w:t>indicators and commentary</w:t>
      </w:r>
      <w:r w:rsidR="00A063AB">
        <w:rPr>
          <w:lang w:eastAsia="en-GB"/>
        </w:rPr>
        <w:t xml:space="preserve"> </w:t>
      </w:r>
      <w:r w:rsidR="00E95C33">
        <w:rPr>
          <w:lang w:eastAsia="en-GB"/>
        </w:rPr>
        <w:t>on</w:t>
      </w:r>
      <w:r w:rsidR="00A063AB">
        <w:rPr>
          <w:lang w:eastAsia="en-GB"/>
        </w:rPr>
        <w:t xml:space="preserve"> policy reforms</w:t>
      </w:r>
      <w:r w:rsidR="00A73C76">
        <w:rPr>
          <w:lang w:eastAsia="en-GB"/>
        </w:rPr>
        <w:t>, from a disability perspective</w:t>
      </w:r>
      <w:r w:rsidR="00A063AB">
        <w:rPr>
          <w:lang w:eastAsia="en-GB"/>
        </w:rPr>
        <w:t>.</w:t>
      </w:r>
      <w:r w:rsidR="00455977">
        <w:rPr>
          <w:lang w:eastAsia="en-GB"/>
        </w:rPr>
        <w:t xml:space="preserve"> The highlighted </w:t>
      </w:r>
      <w:r w:rsidR="00E95C33">
        <w:rPr>
          <w:lang w:eastAsia="en-GB"/>
        </w:rPr>
        <w:t xml:space="preserve">disability </w:t>
      </w:r>
      <w:r w:rsidR="00455977">
        <w:rPr>
          <w:lang w:eastAsia="en-GB"/>
        </w:rPr>
        <w:t>policy sections in the 2017 NRP provide a clear opportunity to do this</w:t>
      </w:r>
      <w:r w:rsidR="00E95C33">
        <w:rPr>
          <w:lang w:eastAsia="en-GB"/>
        </w:rPr>
        <w:t xml:space="preserve"> in 2018</w:t>
      </w:r>
      <w:r w:rsidR="00455977">
        <w:rPr>
          <w:lang w:eastAsia="en-GB"/>
        </w:rPr>
        <w:t xml:space="preserve">, at least in relation to employment policies and childcare, but the consistent failure to address the disability consequences of welfare reforms should not be overlooked in </w:t>
      </w:r>
      <w:r w:rsidR="00E95C33">
        <w:rPr>
          <w:lang w:eastAsia="en-GB"/>
        </w:rPr>
        <w:t>the EU’s</w:t>
      </w:r>
      <w:r w:rsidR="00455977">
        <w:rPr>
          <w:lang w:eastAsia="en-GB"/>
        </w:rPr>
        <w:t xml:space="preserve"> analysis </w:t>
      </w:r>
      <w:r w:rsidR="00BD035A" w:rsidRPr="0077606A">
        <w:rPr>
          <w:lang w:eastAsia="en-GB"/>
        </w:rPr>
        <w:t>–</w:t>
      </w:r>
      <w:r w:rsidR="00803478">
        <w:rPr>
          <w:lang w:eastAsia="en-GB"/>
        </w:rPr>
        <w:t xml:space="preserve"> </w:t>
      </w:r>
      <w:r w:rsidR="00E95C33">
        <w:rPr>
          <w:lang w:eastAsia="en-GB"/>
        </w:rPr>
        <w:t>especially since</w:t>
      </w:r>
      <w:r w:rsidR="00455977">
        <w:rPr>
          <w:lang w:eastAsia="en-GB"/>
        </w:rPr>
        <w:t xml:space="preserve"> the EU</w:t>
      </w:r>
      <w:r w:rsidR="00E95C33">
        <w:rPr>
          <w:lang w:eastAsia="en-GB"/>
        </w:rPr>
        <w:t xml:space="preserve"> has</w:t>
      </w:r>
      <w:r w:rsidR="00455977">
        <w:rPr>
          <w:lang w:eastAsia="en-GB"/>
        </w:rPr>
        <w:t xml:space="preserve"> support</w:t>
      </w:r>
      <w:r w:rsidR="00E95C33">
        <w:rPr>
          <w:lang w:eastAsia="en-GB"/>
        </w:rPr>
        <w:t>ed</w:t>
      </w:r>
      <w:r w:rsidR="00455977">
        <w:rPr>
          <w:lang w:eastAsia="en-GB"/>
        </w:rPr>
        <w:t xml:space="preserve"> </w:t>
      </w:r>
      <w:r w:rsidR="00E95C33">
        <w:rPr>
          <w:lang w:eastAsia="en-GB"/>
        </w:rPr>
        <w:t xml:space="preserve">the UK’s </w:t>
      </w:r>
      <w:r w:rsidR="00455977">
        <w:rPr>
          <w:lang w:eastAsia="en-GB"/>
        </w:rPr>
        <w:t xml:space="preserve">austerity </w:t>
      </w:r>
      <w:r w:rsidR="00BD035A" w:rsidRPr="0077606A">
        <w:rPr>
          <w:lang w:eastAsia="en-GB"/>
        </w:rPr>
        <w:t>policies.</w:t>
      </w:r>
      <w:r w:rsidR="00435ACF" w:rsidRPr="0077606A">
        <w:rPr>
          <w:lang w:eastAsia="en-GB"/>
        </w:rPr>
        <w:t xml:space="preserve"> The fact that these </w:t>
      </w:r>
      <w:r w:rsidR="00E95C33">
        <w:rPr>
          <w:lang w:eastAsia="en-GB"/>
        </w:rPr>
        <w:t>impacts</w:t>
      </w:r>
      <w:r w:rsidR="00435ACF" w:rsidRPr="0077606A">
        <w:rPr>
          <w:lang w:eastAsia="en-GB"/>
        </w:rPr>
        <w:t xml:space="preserve"> </w:t>
      </w:r>
      <w:r w:rsidR="00E95C33">
        <w:rPr>
          <w:lang w:eastAsia="en-GB"/>
        </w:rPr>
        <w:t>were</w:t>
      </w:r>
      <w:r w:rsidR="00435ACF" w:rsidRPr="0077606A">
        <w:rPr>
          <w:lang w:eastAsia="en-GB"/>
        </w:rPr>
        <w:t xml:space="preserve"> </w:t>
      </w:r>
      <w:r w:rsidR="00E95C33">
        <w:rPr>
          <w:lang w:eastAsia="en-GB"/>
        </w:rPr>
        <w:t xml:space="preserve">flagged as systematic human rights abuses by </w:t>
      </w:r>
      <w:r w:rsidR="00803478">
        <w:rPr>
          <w:lang w:eastAsia="en-GB"/>
        </w:rPr>
        <w:t>the UN OHCHR</w:t>
      </w:r>
      <w:r w:rsidR="00435ACF" w:rsidRPr="0077606A">
        <w:rPr>
          <w:lang w:eastAsia="en-GB"/>
        </w:rPr>
        <w:t xml:space="preserve"> merits attention in the </w:t>
      </w:r>
      <w:r w:rsidR="00E95C33">
        <w:rPr>
          <w:lang w:eastAsia="en-GB"/>
        </w:rPr>
        <w:t xml:space="preserve">2018 </w:t>
      </w:r>
      <w:r w:rsidR="00435ACF" w:rsidRPr="0077606A">
        <w:rPr>
          <w:lang w:eastAsia="en-GB"/>
        </w:rPr>
        <w:t>CR.</w:t>
      </w:r>
    </w:p>
    <w:p w14:paraId="17C27C4D" w14:textId="77777777" w:rsidR="006E64BE" w:rsidRPr="0077606A" w:rsidRDefault="006E64BE" w:rsidP="0016304F">
      <w:pPr>
        <w:spacing w:after="0"/>
        <w:rPr>
          <w:lang w:eastAsia="en-GB"/>
        </w:rPr>
      </w:pPr>
    </w:p>
    <w:p w14:paraId="4E89E351" w14:textId="77777777" w:rsidR="006B7206" w:rsidRPr="0077606A" w:rsidRDefault="006B7206" w:rsidP="0016304F">
      <w:pPr>
        <w:spacing w:after="0"/>
        <w:rPr>
          <w:rFonts w:eastAsia="SimSun"/>
          <w:lang w:eastAsia="en-GB"/>
        </w:rPr>
      </w:pPr>
    </w:p>
    <w:p w14:paraId="1AE28461" w14:textId="77777777" w:rsidR="006B7206" w:rsidRDefault="006B7206" w:rsidP="0016304F">
      <w:pPr>
        <w:pStyle w:val="Heading1"/>
        <w:rPr>
          <w:lang w:eastAsia="en-GB"/>
        </w:rPr>
      </w:pPr>
      <w:bookmarkStart w:id="26" w:name="_Toc511056654"/>
      <w:r w:rsidRPr="0077606A">
        <w:rPr>
          <w:lang w:eastAsia="en-GB"/>
        </w:rPr>
        <w:lastRenderedPageBreak/>
        <w:t>Assessment of the structural funds ESIF 2014-2020 or other relevant funds</w:t>
      </w:r>
      <w:r w:rsidR="001335A3" w:rsidRPr="0077606A">
        <w:t xml:space="preserve"> </w:t>
      </w:r>
      <w:r w:rsidR="001335A3" w:rsidRPr="0077606A">
        <w:rPr>
          <w:lang w:eastAsia="en-GB"/>
        </w:rPr>
        <w:t>in relation to disability challenges</w:t>
      </w:r>
      <w:bookmarkEnd w:id="26"/>
    </w:p>
    <w:p w14:paraId="7EFD2A91" w14:textId="77777777" w:rsidR="006E64BE" w:rsidRPr="006E64BE" w:rsidRDefault="006E64BE" w:rsidP="0016304F">
      <w:pPr>
        <w:spacing w:after="0"/>
        <w:rPr>
          <w:lang w:eastAsia="en-GB"/>
        </w:rPr>
      </w:pPr>
    </w:p>
    <w:p w14:paraId="5156F8C2" w14:textId="62D00B59" w:rsidR="00965766" w:rsidRDefault="00965766" w:rsidP="0016304F">
      <w:pPr>
        <w:spacing w:after="0"/>
        <w:rPr>
          <w:lang w:eastAsia="en-GB"/>
        </w:rPr>
      </w:pPr>
      <w:r>
        <w:rPr>
          <w:lang w:eastAsia="en-GB"/>
        </w:rPr>
        <w:t xml:space="preserve">It is unclear whether the UK will continue to participate in the EU funds budget but full participation can be anticipated at least until 2019 and. A total of </w:t>
      </w:r>
      <w:r w:rsidRPr="0077606A">
        <w:rPr>
          <w:lang w:eastAsia="en-GB"/>
        </w:rPr>
        <w:t xml:space="preserve">€10.8billion was allocated to the UK budget </w:t>
      </w:r>
      <w:r>
        <w:rPr>
          <w:lang w:eastAsia="en-GB"/>
        </w:rPr>
        <w:t xml:space="preserve">for 2014-2020 </w:t>
      </w:r>
      <w:r w:rsidRPr="0077606A">
        <w:rPr>
          <w:lang w:eastAsia="en-GB"/>
        </w:rPr>
        <w:t xml:space="preserve">from the European Regional Development Fund (ERDF) and the European Social Fund (ESF). </w:t>
      </w:r>
    </w:p>
    <w:p w14:paraId="1091FC87" w14:textId="77777777" w:rsidR="00965766" w:rsidRDefault="00965766" w:rsidP="0016304F">
      <w:pPr>
        <w:spacing w:after="0"/>
        <w:rPr>
          <w:lang w:eastAsia="en-GB"/>
        </w:rPr>
      </w:pPr>
    </w:p>
    <w:p w14:paraId="4B91768C" w14:textId="7AFB6FAA" w:rsidR="00496013" w:rsidRDefault="00496013" w:rsidP="0016304F">
      <w:pPr>
        <w:spacing w:after="0"/>
        <w:rPr>
          <w:lang w:eastAsia="en-GB"/>
        </w:rPr>
      </w:pPr>
      <w:r w:rsidRPr="0077606A">
        <w:rPr>
          <w:lang w:eastAsia="en-GB"/>
        </w:rPr>
        <w:t xml:space="preserve">In the previous funding period 2007-2013 it </w:t>
      </w:r>
      <w:r w:rsidR="00965766">
        <w:rPr>
          <w:lang w:eastAsia="en-GB"/>
        </w:rPr>
        <w:t>was</w:t>
      </w:r>
      <w:r w:rsidR="00965766" w:rsidRPr="0077606A">
        <w:rPr>
          <w:lang w:eastAsia="en-GB"/>
        </w:rPr>
        <w:t xml:space="preserve"> </w:t>
      </w:r>
      <w:r w:rsidRPr="0077606A">
        <w:rPr>
          <w:lang w:eastAsia="en-GB"/>
        </w:rPr>
        <w:t xml:space="preserve">difficult to assess the precise disability impact of spending </w:t>
      </w:r>
      <w:r w:rsidR="00965766">
        <w:rPr>
          <w:lang w:eastAsia="en-GB"/>
        </w:rPr>
        <w:t xml:space="preserve">spread </w:t>
      </w:r>
      <w:r w:rsidRPr="0077606A">
        <w:rPr>
          <w:lang w:eastAsia="en-GB"/>
        </w:rPr>
        <w:t xml:space="preserve">across 22 </w:t>
      </w:r>
      <w:r w:rsidR="00965766">
        <w:rPr>
          <w:lang w:eastAsia="en-GB"/>
        </w:rPr>
        <w:t xml:space="preserve">different </w:t>
      </w:r>
      <w:r w:rsidRPr="0077606A">
        <w:rPr>
          <w:lang w:eastAsia="en-GB"/>
        </w:rPr>
        <w:t xml:space="preserve">Operational Programmes. </w:t>
      </w:r>
      <w:r w:rsidR="00965766">
        <w:rPr>
          <w:lang w:eastAsia="en-GB"/>
        </w:rPr>
        <w:t>However, t</w:t>
      </w:r>
      <w:r w:rsidRPr="0077606A">
        <w:t>he National Strategic Reference Framework for 2007-2013</w:t>
      </w:r>
      <w:r w:rsidRPr="0077606A">
        <w:rPr>
          <w:rStyle w:val="FootnoteReference"/>
          <w:color w:val="000000"/>
        </w:rPr>
        <w:footnoteReference w:id="121"/>
      </w:r>
      <w:r w:rsidRPr="0077606A">
        <w:t xml:space="preserve"> </w:t>
      </w:r>
      <w:r w:rsidR="00965766">
        <w:t xml:space="preserve">did </w:t>
      </w:r>
      <w:r w:rsidRPr="0077606A">
        <w:t xml:space="preserve">require all Programmes to take account of equal opportunities and </w:t>
      </w:r>
      <w:r w:rsidR="00965766">
        <w:t xml:space="preserve">the </w:t>
      </w:r>
      <w:r w:rsidRPr="0077606A">
        <w:t>Programme Monitoring Committees were ‘</w:t>
      </w:r>
      <w:r w:rsidRPr="0077606A">
        <w:rPr>
          <w:color w:val="000000"/>
        </w:rPr>
        <w:t>expected to review progress on all aspects of equality and equal opportunities issues ranging from gender to race and from disability to age’.</w:t>
      </w:r>
      <w:r w:rsidRPr="0077606A">
        <w:rPr>
          <w:lang w:eastAsia="en-GB"/>
        </w:rPr>
        <w:t xml:space="preserve"> </w:t>
      </w:r>
      <w:r w:rsidR="00965766">
        <w:rPr>
          <w:lang w:eastAsia="en-GB"/>
        </w:rPr>
        <w:t>G</w:t>
      </w:r>
      <w:r w:rsidRPr="0077606A">
        <w:rPr>
          <w:lang w:eastAsia="en-GB"/>
        </w:rPr>
        <w:t xml:space="preserve">uidance </w:t>
      </w:r>
      <w:r w:rsidR="00965766">
        <w:rPr>
          <w:lang w:eastAsia="en-GB"/>
        </w:rPr>
        <w:t>had been available since</w:t>
      </w:r>
      <w:r w:rsidRPr="0077606A">
        <w:rPr>
          <w:lang w:eastAsia="en-GB"/>
        </w:rPr>
        <w:t xml:space="preserve"> 2007 under the title </w:t>
      </w:r>
      <w:r w:rsidRPr="0077606A">
        <w:rPr>
          <w:i/>
          <w:iCs/>
          <w:lang w:eastAsia="en-GB"/>
        </w:rPr>
        <w:t>Helping disabled people back to work: ESF good practice guide</w:t>
      </w:r>
      <w:r w:rsidRPr="0077606A">
        <w:rPr>
          <w:lang w:eastAsia="en-GB"/>
        </w:rPr>
        <w:t>.</w:t>
      </w:r>
      <w:r w:rsidRPr="0077606A">
        <w:rPr>
          <w:rStyle w:val="FootnoteReference"/>
          <w:lang w:eastAsia="en-GB"/>
        </w:rPr>
        <w:footnoteReference w:id="122"/>
      </w:r>
    </w:p>
    <w:p w14:paraId="6861528B" w14:textId="561F8379" w:rsidR="00965766" w:rsidRDefault="00965766" w:rsidP="0016304F">
      <w:pPr>
        <w:spacing w:after="0"/>
        <w:rPr>
          <w:lang w:eastAsia="en-GB"/>
        </w:rPr>
      </w:pPr>
    </w:p>
    <w:p w14:paraId="78A88691" w14:textId="2E73EA29" w:rsidR="00102FD8" w:rsidRDefault="00102FD8" w:rsidP="0016304F">
      <w:pPr>
        <w:spacing w:after="0"/>
        <w:rPr>
          <w:lang w:eastAsia="en-GB"/>
        </w:rPr>
      </w:pPr>
      <w:r w:rsidRPr="0077606A">
        <w:rPr>
          <w:lang w:eastAsia="en-GB"/>
        </w:rPr>
        <w:t xml:space="preserve">In February 2013 the High Court ruled that the UK Government had not fulfilled its Public Sector Equality Duty in deciding on the allocation of the Funds to regional authorities. This forced a full Equality Impact Assessment before re-confirming </w:t>
      </w:r>
      <w:r w:rsidR="00965766">
        <w:rPr>
          <w:lang w:eastAsia="en-GB"/>
        </w:rPr>
        <w:t>those</w:t>
      </w:r>
      <w:r w:rsidR="00965766" w:rsidRPr="0077606A">
        <w:rPr>
          <w:lang w:eastAsia="en-GB"/>
        </w:rPr>
        <w:t xml:space="preserve"> </w:t>
      </w:r>
      <w:r w:rsidRPr="0077606A">
        <w:rPr>
          <w:lang w:eastAsia="en-GB"/>
        </w:rPr>
        <w:t>allocations in 2014 (€6.9bn to England, €2.4bn to Wales, €895m to Scotland, €513m to Northern Ireland (and €10m to Gibraltar).</w:t>
      </w:r>
    </w:p>
    <w:p w14:paraId="743F7457" w14:textId="77777777" w:rsidR="00965766" w:rsidRPr="0077606A" w:rsidRDefault="00965766" w:rsidP="0016304F">
      <w:pPr>
        <w:spacing w:after="0"/>
        <w:rPr>
          <w:lang w:eastAsia="en-GB"/>
        </w:rPr>
      </w:pPr>
    </w:p>
    <w:p w14:paraId="415F1DA0" w14:textId="2FEAFFFC" w:rsidR="00102FD8" w:rsidRDefault="00102FD8" w:rsidP="0016304F">
      <w:pPr>
        <w:spacing w:after="0"/>
        <w:rPr>
          <w:lang w:eastAsia="en-GB"/>
        </w:rPr>
      </w:pPr>
      <w:r w:rsidRPr="0077606A">
        <w:rPr>
          <w:lang w:eastAsia="en-GB"/>
        </w:rPr>
        <w:t xml:space="preserve">Disability was considered in </w:t>
      </w:r>
      <w:r w:rsidR="00965766">
        <w:rPr>
          <w:lang w:eastAsia="en-GB"/>
        </w:rPr>
        <w:t>this</w:t>
      </w:r>
      <w:r w:rsidR="00965766" w:rsidRPr="0077606A">
        <w:rPr>
          <w:lang w:eastAsia="en-GB"/>
        </w:rPr>
        <w:t xml:space="preserve"> </w:t>
      </w:r>
      <w:r w:rsidRPr="0077606A">
        <w:rPr>
          <w:lang w:eastAsia="en-GB"/>
        </w:rPr>
        <w:t>Impact Assessment, along with other protected grounds, by assessing per capita funding for each region against prevalence data – ‘For instance, if the allocation consistently provided the lowest amounts of funding per capita to areas with a high proportion of disabled people, it might be concluded that the policy negatively impacts on disabled people’.</w:t>
      </w:r>
      <w:r w:rsidRPr="0077606A">
        <w:rPr>
          <w:vertAlign w:val="superscript"/>
          <w:lang w:eastAsia="en-GB"/>
        </w:rPr>
        <w:footnoteReference w:id="123"/>
      </w:r>
      <w:r w:rsidRPr="0077606A">
        <w:rPr>
          <w:lang w:eastAsia="en-GB"/>
        </w:rPr>
        <w:t xml:space="preserve"> Specific questions were also raised about two regions with high disability prevalence that had experienced reductions in funding allocation in this round (M</w:t>
      </w:r>
      <w:r w:rsidR="0051167C">
        <w:rPr>
          <w:lang w:eastAsia="en-GB"/>
        </w:rPr>
        <w:t>erseyside and South Yorkshire).</w:t>
      </w:r>
    </w:p>
    <w:p w14:paraId="79004BE1" w14:textId="77777777" w:rsidR="0051167C" w:rsidRPr="0077606A" w:rsidRDefault="0051167C" w:rsidP="0016304F">
      <w:pPr>
        <w:spacing w:after="0"/>
        <w:rPr>
          <w:lang w:eastAsia="en-GB"/>
        </w:rPr>
      </w:pPr>
    </w:p>
    <w:p w14:paraId="1B6BDEE4" w14:textId="77777777" w:rsidR="00102FD8" w:rsidRDefault="00102FD8" w:rsidP="0016304F">
      <w:pPr>
        <w:spacing w:after="0"/>
        <w:rPr>
          <w:lang w:eastAsia="en-GB"/>
        </w:rPr>
      </w:pPr>
      <w:r w:rsidRPr="0077606A">
        <w:rPr>
          <w:lang w:eastAsia="en-GB"/>
        </w:rPr>
        <w:t>The analysis showed no correlation between prevalence of disability benefit claims and funding levels in less developed or transition regions, with some positive correlation in more developed regions (i.e. ‘areas with higher rates of disability have higher levels of funding’). The assessment concluded that disabled people were the only group favoured by the allocation but that this could ‘potentially help to eliminate discrimination, advance equality of opportunity and help to foster good relations between disabled and non-disabled persons’ (p. 24). It found that Merseyside and South Yorkshire had low funding and high disability prevalence but were not out of place amongst other Transition regions.</w:t>
      </w:r>
    </w:p>
    <w:p w14:paraId="145296E4" w14:textId="77777777" w:rsidR="0051167C" w:rsidRPr="0077606A" w:rsidRDefault="0051167C" w:rsidP="0016304F">
      <w:pPr>
        <w:spacing w:after="0"/>
        <w:rPr>
          <w:lang w:eastAsia="en-GB"/>
        </w:rPr>
      </w:pPr>
    </w:p>
    <w:p w14:paraId="3F7355EF" w14:textId="77777777" w:rsidR="00102FD8" w:rsidRDefault="00102FD8" w:rsidP="0016304F">
      <w:pPr>
        <w:spacing w:after="0"/>
        <w:rPr>
          <w:lang w:eastAsia="en-GB"/>
        </w:rPr>
      </w:pPr>
      <w:r w:rsidRPr="0077606A">
        <w:rPr>
          <w:lang w:eastAsia="en-GB"/>
        </w:rPr>
        <w:t xml:space="preserve">Equality Impact Assessments were conducted in accordance with the Common Provisions Regulation. As noted in the Equality Impact Assessment for the UK </w:t>
      </w:r>
      <w:r w:rsidRPr="0077606A">
        <w:rPr>
          <w:lang w:eastAsia="en-GB"/>
        </w:rPr>
        <w:lastRenderedPageBreak/>
        <w:t>Partnership Agreement, ‘When the Managing Authorities across the UK develop their Programmes for the ESI funds they will be undertaking regulatory functions and will therefore have to comply with the Equality Act and have regard to the Public Sector Equality Duty’. Additional principles of promoting and monitoring equal opportunities are included.</w:t>
      </w:r>
      <w:r w:rsidRPr="0077606A">
        <w:rPr>
          <w:vertAlign w:val="superscript"/>
          <w:lang w:eastAsia="en-GB"/>
        </w:rPr>
        <w:footnoteReference w:id="124"/>
      </w:r>
      <w:r w:rsidRPr="0077606A">
        <w:rPr>
          <w:lang w:eastAsia="en-GB"/>
        </w:rPr>
        <w:t xml:space="preserve"> </w:t>
      </w:r>
    </w:p>
    <w:p w14:paraId="46B49900" w14:textId="77777777" w:rsidR="0051167C" w:rsidRPr="0077606A" w:rsidRDefault="0051167C" w:rsidP="0016304F">
      <w:pPr>
        <w:spacing w:after="0"/>
        <w:rPr>
          <w:lang w:eastAsia="en-GB"/>
        </w:rPr>
      </w:pPr>
    </w:p>
    <w:p w14:paraId="195E736A" w14:textId="77777777" w:rsidR="00102FD8" w:rsidRDefault="00102FD8" w:rsidP="0016304F">
      <w:pPr>
        <w:spacing w:after="0"/>
        <w:rPr>
          <w:lang w:eastAsia="en-GB"/>
        </w:rPr>
      </w:pPr>
      <w:r w:rsidRPr="0077606A">
        <w:rPr>
          <w:lang w:eastAsia="en-GB"/>
        </w:rPr>
        <w:t>The Northern Ireland chapter referred extensively to disability equality, including CRPD. Public consultation in Wales drew suggestions from at least one disability organisation for strengthening disability in the equalities theme, and disability training.</w:t>
      </w:r>
      <w:r w:rsidRPr="0077606A">
        <w:rPr>
          <w:vertAlign w:val="superscript"/>
          <w:lang w:eastAsia="en-GB"/>
        </w:rPr>
        <w:footnoteReference w:id="125"/>
      </w:r>
      <w:r w:rsidRPr="0077606A">
        <w:rPr>
          <w:lang w:eastAsia="en-GB"/>
        </w:rPr>
        <w:t xml:space="preserve"> The Scottish Government’s Equality Impact Assessment Record (EIAR) highlighted that the focus on disability was not as strong as on gender in its proposals, that disability affects 20% of the population and that the ESF should target ‘young disabled participants with the support they may need to gain more advanced qualifications, and including provision for wrap-around support e.g. for college or apprenticeship places’.</w:t>
      </w:r>
      <w:r w:rsidRPr="0077606A">
        <w:rPr>
          <w:vertAlign w:val="superscript"/>
          <w:lang w:eastAsia="en-GB"/>
        </w:rPr>
        <w:footnoteReference w:id="126"/>
      </w:r>
      <w:r w:rsidRPr="0077606A">
        <w:rPr>
          <w:lang w:eastAsia="en-GB"/>
        </w:rPr>
        <w:t xml:space="preserve"> A complaints procedure will be established to address unlawful discrimination, harassment and victimisation within Structural Funds projects. </w:t>
      </w:r>
    </w:p>
    <w:p w14:paraId="577E57E3" w14:textId="77777777" w:rsidR="0051167C" w:rsidRPr="0077606A" w:rsidRDefault="0051167C" w:rsidP="0016304F">
      <w:pPr>
        <w:spacing w:after="0"/>
        <w:rPr>
          <w:lang w:eastAsia="en-GB"/>
        </w:rPr>
      </w:pPr>
    </w:p>
    <w:p w14:paraId="24FE8A04" w14:textId="77777777" w:rsidR="00102FD8" w:rsidRDefault="00102FD8" w:rsidP="0016304F">
      <w:pPr>
        <w:spacing w:after="0"/>
        <w:rPr>
          <w:lang w:eastAsia="en-GB"/>
        </w:rPr>
      </w:pPr>
      <w:r w:rsidRPr="0077606A">
        <w:rPr>
          <w:lang w:eastAsia="en-GB"/>
        </w:rPr>
        <w:t>The UK Partnership Agreement targets young disabled people in the category of NEET, as well as disabled people in general in relation to employability and skills, and transition to work (prioritising ESIF Objectives 8, 9 and 10). Disabled people were not referred to under Objective 2 (Enhancing access to, and use and quality of, information and communication technologies) or Objective 7 (Promoting sustainable transport and removing bottlenecks in key network infrastructures).</w:t>
      </w:r>
    </w:p>
    <w:p w14:paraId="54017A2B" w14:textId="77777777" w:rsidR="0051167C" w:rsidRPr="0077606A" w:rsidRDefault="0051167C" w:rsidP="0016304F">
      <w:pPr>
        <w:spacing w:after="0"/>
        <w:rPr>
          <w:lang w:eastAsia="en-GB"/>
        </w:rPr>
      </w:pPr>
    </w:p>
    <w:p w14:paraId="501FD25A" w14:textId="3D618C4A" w:rsidR="00965766" w:rsidRDefault="00483695" w:rsidP="0016304F">
      <w:pPr>
        <w:spacing w:after="0"/>
        <w:rPr>
          <w:lang w:eastAsia="en-GB"/>
        </w:rPr>
      </w:pPr>
      <w:r>
        <w:rPr>
          <w:lang w:eastAsia="en-GB"/>
        </w:rPr>
        <w:t>C</w:t>
      </w:r>
      <w:r w:rsidR="009025F7" w:rsidRPr="0077606A">
        <w:rPr>
          <w:lang w:eastAsia="en-GB"/>
        </w:rPr>
        <w:t>alls for proposals were launched in March 2015. Allocations are devolved to 39 different Local Enterprise Partnerships (LEPs) in England, and to the devolved regional authorities in Wales, Scotland and Northern Ireland.</w:t>
      </w:r>
      <w:r w:rsidR="00CD39B7" w:rsidRPr="0077606A">
        <w:rPr>
          <w:lang w:eastAsia="en-GB"/>
        </w:rPr>
        <w:t xml:space="preserve"> </w:t>
      </w:r>
      <w:r w:rsidR="00D60B2F">
        <w:rPr>
          <w:lang w:eastAsia="en-GB"/>
        </w:rPr>
        <w:t>There is a national sub-committee concerning Equality and Diversity but no proceedings have been published. The project calls specifications make clear reference to disability as a legitimate target area for projects, for example in relation to employment</w:t>
      </w:r>
      <w:r w:rsidR="0022780E">
        <w:rPr>
          <w:lang w:eastAsia="en-GB"/>
        </w:rPr>
        <w:t xml:space="preserve"> but we have been so far unable to identify disability specific projects</w:t>
      </w:r>
      <w:r w:rsidR="00D60B2F">
        <w:rPr>
          <w:lang w:eastAsia="en-GB"/>
        </w:rPr>
        <w:t xml:space="preserve">. </w:t>
      </w:r>
      <w:r w:rsidR="00CD39B7" w:rsidRPr="0077606A">
        <w:rPr>
          <w:lang w:eastAsia="en-GB"/>
        </w:rPr>
        <w:t>A search of 270 open and closed calls in England indicated no reference to disability terms in the title or headline description of any call, although it is clear that many calls do make reference to disabled people as potential beneficiaries in their detailed texts (which are not searchable in a single system).</w:t>
      </w:r>
      <w:r w:rsidR="0022780E">
        <w:rPr>
          <w:lang w:eastAsia="en-GB"/>
        </w:rPr>
        <w:t xml:space="preserve"> </w:t>
      </w:r>
      <w:r w:rsidR="00965766" w:rsidRPr="0077606A">
        <w:rPr>
          <w:lang w:eastAsia="en-GB"/>
        </w:rPr>
        <w:t xml:space="preserve">We were unable to identify evidence of the direct involvement of disabled people’s organisations in planning for </w:t>
      </w:r>
      <w:r w:rsidR="0022780E">
        <w:rPr>
          <w:lang w:eastAsia="en-GB"/>
        </w:rPr>
        <w:t xml:space="preserve">the </w:t>
      </w:r>
      <w:r w:rsidR="00965766" w:rsidRPr="0077606A">
        <w:rPr>
          <w:lang w:eastAsia="en-GB"/>
        </w:rPr>
        <w:t xml:space="preserve">2014-2020 </w:t>
      </w:r>
      <w:r w:rsidR="0022780E">
        <w:rPr>
          <w:lang w:eastAsia="en-GB"/>
        </w:rPr>
        <w:t>funding period</w:t>
      </w:r>
      <w:r w:rsidR="00965766" w:rsidRPr="0077606A">
        <w:rPr>
          <w:lang w:eastAsia="en-GB"/>
        </w:rPr>
        <w:t xml:space="preserve">. </w:t>
      </w:r>
    </w:p>
    <w:p w14:paraId="6FD5A34E" w14:textId="77777777" w:rsidR="00965766" w:rsidRDefault="00965766" w:rsidP="0016304F">
      <w:pPr>
        <w:spacing w:after="0"/>
        <w:rPr>
          <w:lang w:eastAsia="en-GB"/>
        </w:rPr>
      </w:pPr>
    </w:p>
    <w:p w14:paraId="71E6D4A7" w14:textId="77777777" w:rsidR="00965766" w:rsidRPr="0077606A" w:rsidRDefault="00965766" w:rsidP="0016304F">
      <w:pPr>
        <w:spacing w:after="0"/>
        <w:rPr>
          <w:lang w:eastAsia="en-GB"/>
        </w:rPr>
      </w:pPr>
    </w:p>
    <w:p w14:paraId="3F790B78" w14:textId="77777777" w:rsidR="00965766" w:rsidRPr="0077606A" w:rsidRDefault="00965766" w:rsidP="0016304F">
      <w:pPr>
        <w:spacing w:after="0"/>
        <w:rPr>
          <w:rFonts w:eastAsia="SimSun"/>
          <w:lang w:eastAsia="en-GB"/>
        </w:rPr>
      </w:pPr>
    </w:p>
    <w:p w14:paraId="21B9DDBA" w14:textId="77777777" w:rsidR="006B7206" w:rsidRDefault="006B7206" w:rsidP="0016304F">
      <w:pPr>
        <w:pStyle w:val="Heading1"/>
        <w:rPr>
          <w:lang w:eastAsia="en-GB"/>
        </w:rPr>
      </w:pPr>
      <w:bookmarkStart w:id="27" w:name="_Toc511056655"/>
      <w:r w:rsidRPr="0077606A">
        <w:rPr>
          <w:lang w:eastAsia="en-GB"/>
        </w:rPr>
        <w:lastRenderedPageBreak/>
        <w:t>Recommendations</w:t>
      </w:r>
      <w:bookmarkEnd w:id="27"/>
    </w:p>
    <w:p w14:paraId="727BE7F5" w14:textId="77777777" w:rsidR="0051167C" w:rsidRDefault="0051167C" w:rsidP="0016304F">
      <w:pPr>
        <w:spacing w:after="0"/>
        <w:rPr>
          <w:lang w:eastAsia="en-GB"/>
        </w:rPr>
      </w:pPr>
    </w:p>
    <w:p w14:paraId="167E9579" w14:textId="3E33F2DE" w:rsidR="00CE23D3" w:rsidRDefault="00CE23D3" w:rsidP="0016304F">
      <w:pPr>
        <w:spacing w:after="0"/>
        <w:rPr>
          <w:lang w:eastAsia="en-GB"/>
        </w:rPr>
      </w:pPr>
      <w:r>
        <w:rPr>
          <w:lang w:eastAsia="en-GB"/>
        </w:rPr>
        <w:t xml:space="preserve">Our recommendations remain largely unaltered from the previous </w:t>
      </w:r>
      <w:r w:rsidR="00483695">
        <w:rPr>
          <w:lang w:eastAsia="en-GB"/>
        </w:rPr>
        <w:t xml:space="preserve">two </w:t>
      </w:r>
      <w:r>
        <w:rPr>
          <w:lang w:eastAsia="en-GB"/>
        </w:rPr>
        <w:t>year</w:t>
      </w:r>
      <w:r w:rsidR="00483695">
        <w:rPr>
          <w:lang w:eastAsia="en-GB"/>
        </w:rPr>
        <w:t>s, although the 2017 UN CRPD Committee recommendations considerably strengthen the need for action on them</w:t>
      </w:r>
      <w:r>
        <w:rPr>
          <w:lang w:eastAsia="en-GB"/>
        </w:rPr>
        <w:t>.</w:t>
      </w:r>
    </w:p>
    <w:p w14:paraId="1138F2FD" w14:textId="77777777" w:rsidR="00CE23D3" w:rsidRPr="0051167C" w:rsidRDefault="00CE23D3" w:rsidP="0016304F">
      <w:pPr>
        <w:spacing w:after="0"/>
        <w:rPr>
          <w:lang w:eastAsia="en-GB"/>
        </w:rPr>
      </w:pPr>
    </w:p>
    <w:p w14:paraId="50CE97F2" w14:textId="20D851B7" w:rsidR="00A50CE3" w:rsidRDefault="00483695" w:rsidP="0016304F">
      <w:pPr>
        <w:spacing w:after="0"/>
        <w:rPr>
          <w:lang w:eastAsia="en-GB"/>
        </w:rPr>
      </w:pPr>
      <w:r>
        <w:rPr>
          <w:b/>
          <w:bCs/>
          <w:lang w:eastAsia="en-GB"/>
        </w:rPr>
        <w:t>Sustainable finances</w:t>
      </w:r>
      <w:r w:rsidR="00E535E2" w:rsidRPr="0077606A">
        <w:rPr>
          <w:lang w:eastAsia="en-GB"/>
        </w:rPr>
        <w:t xml:space="preserve">: </w:t>
      </w:r>
      <w:r>
        <w:rPr>
          <w:lang w:eastAsia="en-GB"/>
        </w:rPr>
        <w:t>W</w:t>
      </w:r>
      <w:r w:rsidR="00AA5979" w:rsidRPr="0077606A">
        <w:rPr>
          <w:lang w:eastAsia="en-GB"/>
        </w:rPr>
        <w:t xml:space="preserve">idespread </w:t>
      </w:r>
      <w:r>
        <w:rPr>
          <w:lang w:eastAsia="en-GB"/>
        </w:rPr>
        <w:t xml:space="preserve">public </w:t>
      </w:r>
      <w:r w:rsidR="00AA5979" w:rsidRPr="0077606A">
        <w:rPr>
          <w:lang w:eastAsia="en-GB"/>
        </w:rPr>
        <w:t>concern about the consequences of austerity policies for disabled people in the UK</w:t>
      </w:r>
      <w:r>
        <w:rPr>
          <w:lang w:eastAsia="en-GB"/>
        </w:rPr>
        <w:t xml:space="preserve"> continues to grow</w:t>
      </w:r>
      <w:r w:rsidR="00AA5979" w:rsidRPr="0077606A">
        <w:rPr>
          <w:lang w:eastAsia="en-GB"/>
        </w:rPr>
        <w:t xml:space="preserve">. </w:t>
      </w:r>
      <w:r w:rsidR="007D0371" w:rsidRPr="0077606A">
        <w:rPr>
          <w:lang w:eastAsia="en-GB"/>
        </w:rPr>
        <w:t>Th</w:t>
      </w:r>
      <w:r>
        <w:rPr>
          <w:lang w:eastAsia="en-GB"/>
        </w:rPr>
        <w:t>e UN CRPD investigation and recommendations has heightened the</w:t>
      </w:r>
      <w:r w:rsidR="00A50CE3" w:rsidRPr="0077606A">
        <w:rPr>
          <w:lang w:eastAsia="en-GB"/>
        </w:rPr>
        <w:t xml:space="preserve"> urgent need </w:t>
      </w:r>
      <w:r>
        <w:rPr>
          <w:lang w:eastAsia="en-GB"/>
        </w:rPr>
        <w:t>for</w:t>
      </w:r>
      <w:r w:rsidRPr="0077606A">
        <w:rPr>
          <w:lang w:eastAsia="en-GB"/>
        </w:rPr>
        <w:t xml:space="preserve"> </w:t>
      </w:r>
      <w:r w:rsidR="00A50CE3" w:rsidRPr="0077606A">
        <w:rPr>
          <w:lang w:eastAsia="en-GB"/>
        </w:rPr>
        <w:t xml:space="preserve">review </w:t>
      </w:r>
      <w:r>
        <w:rPr>
          <w:lang w:eastAsia="en-GB"/>
        </w:rPr>
        <w:t xml:space="preserve">of </w:t>
      </w:r>
      <w:r w:rsidR="00A50CE3" w:rsidRPr="0077606A">
        <w:rPr>
          <w:lang w:eastAsia="en-GB"/>
        </w:rPr>
        <w:t xml:space="preserve">the impact of fiscal consolidation and </w:t>
      </w:r>
      <w:r>
        <w:rPr>
          <w:lang w:eastAsia="en-GB"/>
        </w:rPr>
        <w:t>austerity</w:t>
      </w:r>
      <w:r w:rsidR="00A50CE3" w:rsidRPr="0077606A">
        <w:rPr>
          <w:lang w:eastAsia="en-GB"/>
        </w:rPr>
        <w:t xml:space="preserve"> policies on disabled people. Specifically:</w:t>
      </w:r>
    </w:p>
    <w:p w14:paraId="20A7F60F" w14:textId="77777777" w:rsidR="0051167C" w:rsidRPr="0077606A" w:rsidRDefault="0051167C" w:rsidP="0016304F">
      <w:pPr>
        <w:spacing w:after="0"/>
        <w:rPr>
          <w:lang w:eastAsia="en-GB"/>
        </w:rPr>
      </w:pPr>
    </w:p>
    <w:p w14:paraId="66975A70" w14:textId="59819DBC" w:rsidR="00AA5979" w:rsidRDefault="00AA5979" w:rsidP="0016304F">
      <w:pPr>
        <w:pStyle w:val="ListParagraph"/>
        <w:numPr>
          <w:ilvl w:val="0"/>
          <w:numId w:val="33"/>
        </w:numPr>
        <w:spacing w:after="0"/>
        <w:ind w:left="567" w:hanging="567"/>
        <w:rPr>
          <w:lang w:eastAsia="en-GB"/>
        </w:rPr>
      </w:pPr>
      <w:r w:rsidRPr="0077606A">
        <w:rPr>
          <w:lang w:eastAsia="en-GB"/>
        </w:rPr>
        <w:t>Consider the equality impact of revised benefit cap on disabled peopl</w:t>
      </w:r>
      <w:r w:rsidR="0048413E">
        <w:rPr>
          <w:lang w:eastAsia="en-GB"/>
        </w:rPr>
        <w:t>e and their families/households</w:t>
      </w:r>
      <w:r w:rsidR="00B90D45">
        <w:rPr>
          <w:lang w:eastAsia="en-GB"/>
        </w:rPr>
        <w:t xml:space="preserve"> in light of recommendations by the UN CRPD Committee</w:t>
      </w:r>
      <w:r w:rsidR="0048413E">
        <w:rPr>
          <w:lang w:eastAsia="en-GB"/>
        </w:rPr>
        <w:t>;</w:t>
      </w:r>
    </w:p>
    <w:p w14:paraId="57757558" w14:textId="3B66AA81" w:rsidR="00A50CE3" w:rsidRPr="0077606A" w:rsidRDefault="00AA5979" w:rsidP="0016304F">
      <w:pPr>
        <w:pStyle w:val="ListParagraph"/>
        <w:numPr>
          <w:ilvl w:val="0"/>
          <w:numId w:val="33"/>
        </w:numPr>
        <w:spacing w:after="0"/>
        <w:ind w:left="567" w:hanging="567"/>
        <w:rPr>
          <w:lang w:eastAsia="en-GB"/>
        </w:rPr>
      </w:pPr>
      <w:r w:rsidRPr="0077606A">
        <w:rPr>
          <w:lang w:eastAsia="en-GB"/>
        </w:rPr>
        <w:t xml:space="preserve">Review the impact of withdrawing Housing Benefit Spare Room Subsidy on disabled people with high support needs at </w:t>
      </w:r>
      <w:r w:rsidR="0048413E">
        <w:rPr>
          <w:lang w:eastAsia="en-GB"/>
        </w:rPr>
        <w:t>home;</w:t>
      </w:r>
    </w:p>
    <w:p w14:paraId="50239812" w14:textId="3448BD86" w:rsidR="00AA5979" w:rsidRPr="0077606A" w:rsidRDefault="00AA5979" w:rsidP="0016304F">
      <w:pPr>
        <w:pStyle w:val="ListParagraph"/>
        <w:numPr>
          <w:ilvl w:val="0"/>
          <w:numId w:val="33"/>
        </w:numPr>
        <w:spacing w:after="0"/>
        <w:ind w:left="567" w:hanging="567"/>
        <w:rPr>
          <w:lang w:eastAsia="en-GB"/>
        </w:rPr>
      </w:pPr>
      <w:r w:rsidRPr="0077606A">
        <w:rPr>
          <w:lang w:eastAsia="en-GB"/>
        </w:rPr>
        <w:t>Review the impact of benefit reductions and sanctions resulting from the Work Capability Assessment gateway</w:t>
      </w:r>
      <w:r w:rsidR="0048413E">
        <w:rPr>
          <w:lang w:eastAsia="en-GB"/>
        </w:rPr>
        <w:t xml:space="preserve"> to Employment Support Allowance;</w:t>
      </w:r>
    </w:p>
    <w:p w14:paraId="008DC1FC" w14:textId="183BE25B" w:rsidR="00AA5979" w:rsidRPr="0077606A" w:rsidRDefault="00CE23D3" w:rsidP="0016304F">
      <w:pPr>
        <w:pStyle w:val="ListParagraph"/>
        <w:numPr>
          <w:ilvl w:val="0"/>
          <w:numId w:val="33"/>
        </w:numPr>
        <w:spacing w:after="0"/>
        <w:ind w:left="567" w:hanging="567"/>
        <w:rPr>
          <w:lang w:eastAsia="en-GB"/>
        </w:rPr>
      </w:pPr>
      <w:r>
        <w:rPr>
          <w:lang w:eastAsia="en-GB"/>
        </w:rPr>
        <w:t>Respond to</w:t>
      </w:r>
      <w:r w:rsidRPr="0077606A">
        <w:rPr>
          <w:lang w:eastAsia="en-GB"/>
        </w:rPr>
        <w:t xml:space="preserve"> </w:t>
      </w:r>
      <w:r w:rsidR="00AA5979" w:rsidRPr="0077606A">
        <w:rPr>
          <w:lang w:eastAsia="en-GB"/>
        </w:rPr>
        <w:t xml:space="preserve">the </w:t>
      </w:r>
      <w:r>
        <w:rPr>
          <w:lang w:eastAsia="en-GB"/>
        </w:rPr>
        <w:t xml:space="preserve">recommendations of independent reviews into the </w:t>
      </w:r>
      <w:r w:rsidR="00AA5979" w:rsidRPr="0077606A">
        <w:rPr>
          <w:lang w:eastAsia="en-GB"/>
        </w:rPr>
        <w:t xml:space="preserve">impact of reduced eligibility </w:t>
      </w:r>
      <w:r>
        <w:rPr>
          <w:lang w:eastAsia="en-GB"/>
        </w:rPr>
        <w:t>to</w:t>
      </w:r>
      <w:r w:rsidR="00AA5979" w:rsidRPr="0077606A">
        <w:rPr>
          <w:lang w:eastAsia="en-GB"/>
        </w:rPr>
        <w:t xml:space="preserve"> Personal Independence Payments following transition fr</w:t>
      </w:r>
      <w:r w:rsidR="0048413E">
        <w:rPr>
          <w:lang w:eastAsia="en-GB"/>
        </w:rPr>
        <w:t>om Disability Living Allowance;</w:t>
      </w:r>
    </w:p>
    <w:p w14:paraId="5957930C" w14:textId="77777777" w:rsidR="00E43803" w:rsidRDefault="00AA5979" w:rsidP="0016304F">
      <w:pPr>
        <w:pStyle w:val="ListParagraph"/>
        <w:numPr>
          <w:ilvl w:val="0"/>
          <w:numId w:val="33"/>
        </w:numPr>
        <w:spacing w:after="0"/>
        <w:ind w:left="567" w:hanging="567"/>
        <w:rPr>
          <w:lang w:eastAsia="en-GB"/>
        </w:rPr>
      </w:pPr>
      <w:r w:rsidRPr="0077606A">
        <w:rPr>
          <w:lang w:eastAsia="en-GB"/>
        </w:rPr>
        <w:t>Ensure that the roll out of Universal Credit is subject to an Equality Impact Assessment that considers the impact of multiple benefit reforms on disabled people.</w:t>
      </w:r>
    </w:p>
    <w:p w14:paraId="0FB11D8A" w14:textId="77777777" w:rsidR="0051167C" w:rsidRPr="0077606A" w:rsidRDefault="0051167C" w:rsidP="0016304F">
      <w:pPr>
        <w:pStyle w:val="ListParagraph"/>
        <w:spacing w:after="0"/>
        <w:ind w:left="0"/>
        <w:rPr>
          <w:lang w:eastAsia="en-GB"/>
        </w:rPr>
      </w:pPr>
    </w:p>
    <w:p w14:paraId="18C6DE79" w14:textId="6B8DF895" w:rsidR="00E43803" w:rsidRDefault="00E43803" w:rsidP="0016304F">
      <w:pPr>
        <w:spacing w:after="0"/>
        <w:rPr>
          <w:lang w:eastAsia="en-GB"/>
        </w:rPr>
      </w:pPr>
      <w:r w:rsidRPr="0077606A">
        <w:rPr>
          <w:lang w:eastAsia="en-GB"/>
        </w:rPr>
        <w:t xml:space="preserve">As well as assessing the equality </w:t>
      </w:r>
      <w:r w:rsidR="006F09A3" w:rsidRPr="0077606A">
        <w:rPr>
          <w:lang w:eastAsia="en-GB"/>
        </w:rPr>
        <w:t>impact of each of these single meas</w:t>
      </w:r>
      <w:r w:rsidRPr="0077606A">
        <w:rPr>
          <w:lang w:eastAsia="en-GB"/>
        </w:rPr>
        <w:t>ures,</w:t>
      </w:r>
      <w:r w:rsidR="006F09A3" w:rsidRPr="0077606A">
        <w:rPr>
          <w:lang w:eastAsia="en-GB"/>
        </w:rPr>
        <w:t xml:space="preserve"> it is essential that an assessment of cumulative effects is </w:t>
      </w:r>
      <w:r w:rsidR="00CE23D3">
        <w:rPr>
          <w:lang w:eastAsia="en-GB"/>
        </w:rPr>
        <w:t>maintained</w:t>
      </w:r>
      <w:r w:rsidR="006F09A3" w:rsidRPr="0077606A">
        <w:rPr>
          <w:lang w:eastAsia="en-GB"/>
        </w:rPr>
        <w:t xml:space="preserve"> to </w:t>
      </w:r>
      <w:r w:rsidR="00CE23D3">
        <w:rPr>
          <w:lang w:eastAsia="en-GB"/>
        </w:rPr>
        <w:t>monitor</w:t>
      </w:r>
      <w:r w:rsidR="00CE23D3" w:rsidRPr="0077606A">
        <w:rPr>
          <w:lang w:eastAsia="en-GB"/>
        </w:rPr>
        <w:t xml:space="preserve"> </w:t>
      </w:r>
      <w:r w:rsidR="006F09A3" w:rsidRPr="0077606A">
        <w:rPr>
          <w:lang w:eastAsia="en-GB"/>
        </w:rPr>
        <w:t>the combined effects</w:t>
      </w:r>
      <w:r w:rsidR="00C57F97" w:rsidRPr="0077606A">
        <w:rPr>
          <w:lang w:eastAsia="en-GB"/>
        </w:rPr>
        <w:t xml:space="preserve"> of deficit management</w:t>
      </w:r>
      <w:r w:rsidR="006F09A3" w:rsidRPr="0077606A">
        <w:rPr>
          <w:lang w:eastAsia="en-GB"/>
        </w:rPr>
        <w:t xml:space="preserve"> on disabled people. </w:t>
      </w:r>
    </w:p>
    <w:p w14:paraId="2051894C" w14:textId="77777777" w:rsidR="0051167C" w:rsidRPr="0077606A" w:rsidRDefault="0051167C" w:rsidP="0016304F">
      <w:pPr>
        <w:spacing w:after="0"/>
        <w:rPr>
          <w:lang w:eastAsia="en-GB"/>
        </w:rPr>
      </w:pPr>
    </w:p>
    <w:p w14:paraId="0E8D440E" w14:textId="1E754FCB" w:rsidR="0025351C" w:rsidRDefault="00797180" w:rsidP="0016304F">
      <w:pPr>
        <w:spacing w:after="0"/>
        <w:rPr>
          <w:lang w:eastAsia="en-GB"/>
        </w:rPr>
      </w:pPr>
      <w:r>
        <w:rPr>
          <w:b/>
          <w:bCs/>
          <w:lang w:eastAsia="en-GB"/>
        </w:rPr>
        <w:t>Employment and s</w:t>
      </w:r>
      <w:r w:rsidR="00E535E2" w:rsidRPr="0077606A">
        <w:rPr>
          <w:b/>
          <w:bCs/>
          <w:lang w:eastAsia="en-GB"/>
        </w:rPr>
        <w:t>kills gaps</w:t>
      </w:r>
      <w:r w:rsidR="00E535E2" w:rsidRPr="0077606A">
        <w:rPr>
          <w:lang w:eastAsia="en-GB"/>
        </w:rPr>
        <w:t xml:space="preserve">: </w:t>
      </w:r>
      <w:r w:rsidR="0025351C" w:rsidRPr="0077606A">
        <w:rPr>
          <w:lang w:eastAsia="en-GB"/>
        </w:rPr>
        <w:t xml:space="preserve">There is strong evidence that disabled young people are over-represented among early school leavers and </w:t>
      </w:r>
      <w:r w:rsidR="00E535E2" w:rsidRPr="0077606A">
        <w:rPr>
          <w:lang w:eastAsia="en-GB"/>
        </w:rPr>
        <w:t>those</w:t>
      </w:r>
      <w:r w:rsidR="006F09A3" w:rsidRPr="0077606A">
        <w:rPr>
          <w:lang w:eastAsia="en-GB"/>
        </w:rPr>
        <w:t xml:space="preserve"> who</w:t>
      </w:r>
      <w:r w:rsidR="00E535E2" w:rsidRPr="0077606A">
        <w:rPr>
          <w:lang w:eastAsia="en-GB"/>
        </w:rPr>
        <w:t xml:space="preserve"> are NEET or without tertiary educational qualifications in adulthood. There is a need to ensure that they benefit fully from investments in basic skills, apprenticeships and the widening of participation in higher education. Specifically:</w:t>
      </w:r>
    </w:p>
    <w:p w14:paraId="5C7874DF" w14:textId="77777777" w:rsidR="0051167C" w:rsidRPr="0077606A" w:rsidRDefault="0051167C" w:rsidP="0016304F">
      <w:pPr>
        <w:spacing w:after="0"/>
        <w:rPr>
          <w:lang w:eastAsia="en-GB"/>
        </w:rPr>
      </w:pPr>
    </w:p>
    <w:p w14:paraId="285086FD" w14:textId="77777777" w:rsidR="00B90D45" w:rsidRDefault="00B90D45" w:rsidP="0016304F">
      <w:pPr>
        <w:pStyle w:val="ListParagraph"/>
        <w:numPr>
          <w:ilvl w:val="0"/>
          <w:numId w:val="34"/>
        </w:numPr>
        <w:spacing w:after="0"/>
        <w:ind w:left="567" w:hanging="567"/>
        <w:rPr>
          <w:lang w:eastAsia="en-GB"/>
        </w:rPr>
      </w:pPr>
      <w:r>
        <w:rPr>
          <w:lang w:eastAsia="en-GB"/>
        </w:rPr>
        <w:t xml:space="preserve">Review the provision of segmented/segregated school provision in light the </w:t>
      </w:r>
      <w:r w:rsidRPr="00B90D45">
        <w:rPr>
          <w:lang w:eastAsia="en-GB"/>
        </w:rPr>
        <w:t>recommendations by the UN CRPD Committee</w:t>
      </w:r>
      <w:r>
        <w:rPr>
          <w:lang w:eastAsia="en-GB"/>
        </w:rPr>
        <w:t>;</w:t>
      </w:r>
    </w:p>
    <w:p w14:paraId="6FE346FE" w14:textId="72DB7713" w:rsidR="00797180" w:rsidRDefault="00797180" w:rsidP="0016304F">
      <w:pPr>
        <w:pStyle w:val="ListParagraph"/>
        <w:numPr>
          <w:ilvl w:val="0"/>
          <w:numId w:val="34"/>
        </w:numPr>
        <w:spacing w:after="0"/>
        <w:ind w:left="567" w:hanging="567"/>
        <w:rPr>
          <w:lang w:eastAsia="en-GB"/>
        </w:rPr>
      </w:pPr>
      <w:r>
        <w:rPr>
          <w:lang w:eastAsia="en-GB"/>
        </w:rPr>
        <w:t>Continue to report the participation and outcomes for young disabled people in apprenticeships, and ensure the sufficiency of compensation for additional disability cost</w:t>
      </w:r>
      <w:r w:rsidR="0048413E">
        <w:rPr>
          <w:lang w:eastAsia="en-GB"/>
        </w:rPr>
        <w:t>s within the new funding regime;</w:t>
      </w:r>
    </w:p>
    <w:p w14:paraId="7D275EC7" w14:textId="01F4B17B" w:rsidR="00E535E2" w:rsidRPr="0077606A" w:rsidRDefault="00E535E2" w:rsidP="0016304F">
      <w:pPr>
        <w:pStyle w:val="ListParagraph"/>
        <w:numPr>
          <w:ilvl w:val="0"/>
          <w:numId w:val="34"/>
        </w:numPr>
        <w:spacing w:after="0"/>
        <w:ind w:left="567" w:hanging="567"/>
        <w:rPr>
          <w:lang w:eastAsia="en-GB"/>
        </w:rPr>
      </w:pPr>
      <w:r w:rsidRPr="0077606A">
        <w:rPr>
          <w:lang w:eastAsia="en-GB"/>
        </w:rPr>
        <w:t>Review the training completion and employment outcomes for young dis</w:t>
      </w:r>
      <w:r w:rsidR="0048413E">
        <w:rPr>
          <w:lang w:eastAsia="en-GB"/>
        </w:rPr>
        <w:t>abled people in the Youth Offer</w:t>
      </w:r>
      <w:r w:rsidR="00B90D45">
        <w:rPr>
          <w:lang w:eastAsia="en-GB"/>
        </w:rPr>
        <w:t>/Obligation</w:t>
      </w:r>
      <w:r w:rsidR="0048413E">
        <w:rPr>
          <w:lang w:eastAsia="en-GB"/>
        </w:rPr>
        <w:t>;</w:t>
      </w:r>
    </w:p>
    <w:p w14:paraId="4AE3F4FD" w14:textId="77777777" w:rsidR="00E535E2" w:rsidRDefault="00E535E2" w:rsidP="0016304F">
      <w:pPr>
        <w:pStyle w:val="ListParagraph"/>
        <w:numPr>
          <w:ilvl w:val="0"/>
          <w:numId w:val="34"/>
        </w:numPr>
        <w:spacing w:after="0"/>
        <w:ind w:left="567" w:hanging="567"/>
        <w:rPr>
          <w:lang w:eastAsia="en-GB"/>
        </w:rPr>
      </w:pPr>
      <w:r w:rsidRPr="0077606A">
        <w:rPr>
          <w:lang w:eastAsia="en-GB"/>
        </w:rPr>
        <w:t>Review the changes to Disabled Students Allowance and their impact on recruitment, progress and completion of studies in higher education.</w:t>
      </w:r>
    </w:p>
    <w:p w14:paraId="263A5E16" w14:textId="77777777" w:rsidR="0051167C" w:rsidRPr="0077606A" w:rsidRDefault="0051167C" w:rsidP="0016304F">
      <w:pPr>
        <w:pStyle w:val="ListParagraph"/>
        <w:spacing w:after="0"/>
        <w:ind w:left="0"/>
        <w:rPr>
          <w:lang w:eastAsia="en-GB"/>
        </w:rPr>
      </w:pPr>
    </w:p>
    <w:p w14:paraId="2838331B" w14:textId="77777777" w:rsidR="00A50CE3" w:rsidRDefault="00E535E2" w:rsidP="0016304F">
      <w:pPr>
        <w:spacing w:after="0"/>
        <w:rPr>
          <w:lang w:eastAsia="en-GB"/>
        </w:rPr>
      </w:pPr>
      <w:r w:rsidRPr="0077606A">
        <w:rPr>
          <w:b/>
          <w:bCs/>
          <w:lang w:eastAsia="en-GB"/>
        </w:rPr>
        <w:t>ESIF</w:t>
      </w:r>
      <w:r w:rsidRPr="0077606A">
        <w:rPr>
          <w:lang w:eastAsia="en-GB"/>
        </w:rPr>
        <w:t>: T</w:t>
      </w:r>
      <w:r w:rsidR="00A50CE3" w:rsidRPr="0077606A">
        <w:rPr>
          <w:lang w:eastAsia="en-GB"/>
        </w:rPr>
        <w:t xml:space="preserve">here is a need to spread European </w:t>
      </w:r>
      <w:r w:rsidRPr="0077606A">
        <w:rPr>
          <w:lang w:eastAsia="en-GB"/>
        </w:rPr>
        <w:t>funds</w:t>
      </w:r>
      <w:r w:rsidR="00A50CE3" w:rsidRPr="0077606A">
        <w:rPr>
          <w:lang w:eastAsia="en-GB"/>
        </w:rPr>
        <w:t xml:space="preserve"> beyond investments in individual skills development and towards investments </w:t>
      </w:r>
      <w:r w:rsidRPr="0077606A">
        <w:rPr>
          <w:lang w:eastAsia="en-GB"/>
        </w:rPr>
        <w:t>also i</w:t>
      </w:r>
      <w:r w:rsidR="00A50CE3" w:rsidRPr="0077606A">
        <w:rPr>
          <w:lang w:eastAsia="en-GB"/>
        </w:rPr>
        <w:t>n accessibility</w:t>
      </w:r>
      <w:r w:rsidRPr="0077606A">
        <w:rPr>
          <w:lang w:eastAsia="en-GB"/>
        </w:rPr>
        <w:t xml:space="preserve"> that will enable individuals to participate</w:t>
      </w:r>
      <w:r w:rsidR="0051167C">
        <w:rPr>
          <w:lang w:eastAsia="en-GB"/>
        </w:rPr>
        <w:t>.</w:t>
      </w:r>
    </w:p>
    <w:p w14:paraId="102AD832" w14:textId="758B481A" w:rsidR="00CE23D3" w:rsidRDefault="00CE23D3" w:rsidP="0016304F">
      <w:pPr>
        <w:pStyle w:val="ListParagraph"/>
        <w:numPr>
          <w:ilvl w:val="0"/>
          <w:numId w:val="34"/>
        </w:numPr>
        <w:spacing w:after="0"/>
        <w:ind w:left="567" w:hanging="567"/>
        <w:rPr>
          <w:lang w:eastAsia="en-GB"/>
        </w:rPr>
      </w:pPr>
      <w:r>
        <w:rPr>
          <w:lang w:eastAsia="en-GB"/>
        </w:rPr>
        <w:lastRenderedPageBreak/>
        <w:t>Report on the engagement with, and impact on, disabled people in the current ESIF funding period with referenc</w:t>
      </w:r>
      <w:r w:rsidR="0048413E">
        <w:rPr>
          <w:lang w:eastAsia="en-GB"/>
        </w:rPr>
        <w:t>e to the ex-ante conditionality;</w:t>
      </w:r>
    </w:p>
    <w:p w14:paraId="56B4BBD9" w14:textId="45358791" w:rsidR="00A50CE3" w:rsidRPr="0077606A" w:rsidRDefault="00A50CE3" w:rsidP="0016304F">
      <w:pPr>
        <w:pStyle w:val="ListParagraph"/>
        <w:numPr>
          <w:ilvl w:val="0"/>
          <w:numId w:val="34"/>
        </w:numPr>
        <w:spacing w:after="0"/>
        <w:ind w:left="567" w:hanging="567"/>
        <w:rPr>
          <w:lang w:eastAsia="en-GB"/>
        </w:rPr>
      </w:pPr>
      <w:r w:rsidRPr="0077606A">
        <w:rPr>
          <w:lang w:eastAsia="en-GB"/>
        </w:rPr>
        <w:t>Consider the potential of ESI</w:t>
      </w:r>
      <w:r w:rsidR="00E535E2" w:rsidRPr="0077606A">
        <w:rPr>
          <w:lang w:eastAsia="en-GB"/>
        </w:rPr>
        <w:t xml:space="preserve">F </w:t>
      </w:r>
      <w:r w:rsidRPr="0077606A">
        <w:rPr>
          <w:lang w:eastAsia="en-GB"/>
        </w:rPr>
        <w:t>to develop greater accessibility for disabled people in relation to Objective 2 (information and communication technologies) and Objective 7 (sustainable transport and infrastructures)</w:t>
      </w:r>
      <w:r w:rsidR="0048413E">
        <w:rPr>
          <w:lang w:eastAsia="en-GB"/>
        </w:rPr>
        <w:t>;</w:t>
      </w:r>
    </w:p>
    <w:p w14:paraId="6E974AD2" w14:textId="77777777" w:rsidR="00A50CE3" w:rsidRPr="0077606A" w:rsidRDefault="00A50CE3" w:rsidP="0016304F">
      <w:pPr>
        <w:pStyle w:val="ListParagraph"/>
        <w:numPr>
          <w:ilvl w:val="0"/>
          <w:numId w:val="34"/>
        </w:numPr>
        <w:spacing w:after="0"/>
        <w:ind w:left="567" w:hanging="567"/>
        <w:rPr>
          <w:lang w:eastAsia="en-GB"/>
        </w:rPr>
      </w:pPr>
      <w:r w:rsidRPr="0077606A">
        <w:rPr>
          <w:lang w:eastAsia="en-GB"/>
        </w:rPr>
        <w:t>Consider the potential of ESIF to develop greater accessibility for disabled people in relation workplace accessibility and housing supply, whilst avoiding investments in institutionalised forms of housing support.</w:t>
      </w:r>
    </w:p>
    <w:p w14:paraId="3D1E5612" w14:textId="77777777" w:rsidR="00A943E8" w:rsidRPr="0077606A" w:rsidRDefault="00A943E8" w:rsidP="0016304F">
      <w:pPr>
        <w:spacing w:after="0"/>
      </w:pPr>
    </w:p>
    <w:p w14:paraId="4FD8CD13" w14:textId="77777777" w:rsidR="00957F11" w:rsidRPr="0077606A" w:rsidRDefault="00957F11" w:rsidP="0016304F">
      <w:pPr>
        <w:spacing w:after="0"/>
      </w:pPr>
    </w:p>
    <w:sectPr w:rsidR="00957F11" w:rsidRPr="0077606A" w:rsidSect="00694F9D">
      <w:headerReference w:type="default" r:id="rId30"/>
      <w:footerReference w:type="default" r:id="rId31"/>
      <w:pgSz w:w="11906" w:h="16838"/>
      <w:pgMar w:top="1985"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5AC0" w14:textId="77777777" w:rsidR="00B77F7D" w:rsidRDefault="00B77F7D" w:rsidP="00AF323E">
      <w:r>
        <w:separator/>
      </w:r>
    </w:p>
  </w:endnote>
  <w:endnote w:type="continuationSeparator" w:id="0">
    <w:p w14:paraId="7EE01FD7" w14:textId="77777777" w:rsidR="00B77F7D" w:rsidRDefault="00B77F7D"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1D88" w14:textId="23E3D8C3" w:rsidR="00B77F7D" w:rsidRDefault="00B77F7D" w:rsidP="00694F9D">
    <w:pPr>
      <w:pStyle w:val="Footer"/>
      <w:jc w:val="center"/>
    </w:pPr>
    <w:r>
      <w:fldChar w:fldCharType="begin"/>
    </w:r>
    <w:r>
      <w:instrText xml:space="preserve"> PAGE   \* MERGEFORMAT </w:instrText>
    </w:r>
    <w:r>
      <w:fldChar w:fldCharType="separate"/>
    </w:r>
    <w:r w:rsidR="0016304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43BD" w14:textId="77777777" w:rsidR="00B77F7D" w:rsidRDefault="00B77F7D" w:rsidP="0070018F">
      <w:pPr>
        <w:spacing w:after="0"/>
      </w:pPr>
      <w:r>
        <w:separator/>
      </w:r>
    </w:p>
  </w:footnote>
  <w:footnote w:type="continuationSeparator" w:id="0">
    <w:p w14:paraId="3666D79F" w14:textId="77777777" w:rsidR="00B77F7D" w:rsidRDefault="00B77F7D" w:rsidP="00AF323E">
      <w:r>
        <w:continuationSeparator/>
      </w:r>
    </w:p>
  </w:footnote>
  <w:footnote w:id="1">
    <w:p w14:paraId="7570EDE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 w:history="1">
        <w:r w:rsidRPr="00B77F7D">
          <w:rPr>
            <w:rStyle w:val="Hyperlink"/>
          </w:rPr>
          <w:t>http://ec.europa.eu/europe2020/pdf/targets_en.pdf</w:t>
        </w:r>
      </w:hyperlink>
      <w:r w:rsidRPr="00B77F7D">
        <w:rPr>
          <w:rStyle w:val="Hyperlink"/>
          <w:u w:val="none"/>
        </w:rPr>
        <w:t>.</w:t>
      </w:r>
      <w:r w:rsidRPr="00B77F7D">
        <w:rPr>
          <w:rStyle w:val="Hyperlink"/>
        </w:rPr>
        <w:t xml:space="preserve"> </w:t>
      </w:r>
    </w:p>
  </w:footnote>
  <w:footnote w:id="2">
    <w:p w14:paraId="0862DE2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2" w:history="1">
        <w:r w:rsidRPr="00B77F7D">
          <w:rPr>
            <w:rStyle w:val="Hyperlink"/>
          </w:rPr>
          <w:t>http://www.reform.uk/publication/rt-hon-iain-duncan-smith-mp-speech-on-work-health-and-disability/</w:t>
        </w:r>
      </w:hyperlink>
      <w:r w:rsidRPr="00B77F7D">
        <w:rPr>
          <w:rStyle w:val="Hyperlink"/>
          <w:u w:val="none"/>
        </w:rPr>
        <w:t>.</w:t>
      </w:r>
      <w:r w:rsidRPr="00B77F7D">
        <w:t xml:space="preserve"> </w:t>
      </w:r>
    </w:p>
  </w:footnote>
  <w:footnote w:id="3">
    <w:p w14:paraId="53F06889"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 w:history="1">
        <w:r w:rsidRPr="00B77F7D">
          <w:rPr>
            <w:rStyle w:val="Hyperlink"/>
          </w:rPr>
          <w:t>http://www.scope.org.uk/Scope/media/Documents/Publication%20Directory/A-million-futures-halving-the-disability-employment-gap.pdf</w:t>
        </w:r>
      </w:hyperlink>
      <w:r w:rsidRPr="00B77F7D">
        <w:rPr>
          <w:rStyle w:val="Hyperlink"/>
          <w:u w:val="none"/>
        </w:rPr>
        <w:t>.</w:t>
      </w:r>
      <w:r w:rsidRPr="00B77F7D">
        <w:t xml:space="preserve"> </w:t>
      </w:r>
    </w:p>
  </w:footnote>
  <w:footnote w:id="4">
    <w:p w14:paraId="48E733B9"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 w:history="1">
        <w:r w:rsidRPr="00B77F7D">
          <w:rPr>
            <w:rStyle w:val="Hyperlink"/>
          </w:rPr>
          <w:t>https://www.tuc.org.uk/sites/default/files/DisabilityandEmploymentReport.pdf</w:t>
        </w:r>
      </w:hyperlink>
      <w:r w:rsidRPr="00B77F7D">
        <w:rPr>
          <w:rStyle w:val="Hyperlink"/>
          <w:u w:val="none"/>
        </w:rPr>
        <w:t>.</w:t>
      </w:r>
      <w:r w:rsidRPr="00B77F7D">
        <w:t xml:space="preserve"> </w:t>
      </w:r>
    </w:p>
  </w:footnote>
  <w:footnote w:id="5">
    <w:p w14:paraId="68B825E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5" w:history="1">
        <w:r w:rsidRPr="00B77F7D">
          <w:rPr>
            <w:rStyle w:val="Hyperlink"/>
          </w:rPr>
          <w:t>https://www.gov.uk/government/uploads/system/uploads/attachment_data/file/320745/making-it-happen.pdf</w:t>
        </w:r>
      </w:hyperlink>
      <w:r w:rsidRPr="00B77F7D">
        <w:rPr>
          <w:rStyle w:val="Hyperlink"/>
          <w:u w:val="none"/>
        </w:rPr>
        <w:t>.</w:t>
      </w:r>
    </w:p>
  </w:footnote>
  <w:footnote w:id="6">
    <w:p w14:paraId="7B923B98"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6" w:history="1">
        <w:r w:rsidRPr="00B77F7D">
          <w:rPr>
            <w:rStyle w:val="Hyperlink"/>
          </w:rPr>
          <w:t>https://www.gov.uk/government/uploads/system/uploads/attachment_data/file/320740/making-it-happen-action-plan.pdf</w:t>
        </w:r>
      </w:hyperlink>
      <w:r w:rsidRPr="00B77F7D">
        <w:rPr>
          <w:rStyle w:val="Hyperlink"/>
          <w:u w:val="none"/>
        </w:rPr>
        <w:t>.</w:t>
      </w:r>
      <w:r w:rsidRPr="00B77F7D">
        <w:t xml:space="preserve"> </w:t>
      </w:r>
    </w:p>
  </w:footnote>
  <w:footnote w:id="7">
    <w:p w14:paraId="34053706"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7" w:history="1">
        <w:r w:rsidRPr="00B77F7D">
          <w:rPr>
            <w:rStyle w:val="Hyperlink"/>
          </w:rPr>
          <w:t>https://www.gov.uk/government/uploads/system/uploads/attachment_data/file/320756/making-it-happen-technical-annex.pdf</w:t>
        </w:r>
      </w:hyperlink>
      <w:r w:rsidRPr="00B77F7D">
        <w:rPr>
          <w:rStyle w:val="Hyperlink"/>
          <w:u w:val="none"/>
        </w:rPr>
        <w:t>.</w:t>
      </w:r>
    </w:p>
  </w:footnote>
  <w:footnote w:id="8">
    <w:p w14:paraId="471C9DF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8" w:history="1">
        <w:r w:rsidRPr="00B77F7D">
          <w:rPr>
            <w:rStyle w:val="Hyperlink"/>
          </w:rPr>
          <w:t>https://www.gov.uk/government/publications/fulfilling-potential-making-it-happen-updates-september-2014</w:t>
        </w:r>
      </w:hyperlink>
      <w:r w:rsidRPr="00B77F7D">
        <w:t>.</w:t>
      </w:r>
    </w:p>
  </w:footnote>
  <w:footnote w:id="9">
    <w:p w14:paraId="2FE432AB" w14:textId="33876B39"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9" w:history="1">
        <w:r w:rsidRPr="00B77F7D">
          <w:rPr>
            <w:rStyle w:val="Hyperlink"/>
          </w:rPr>
          <w:t>http://www.gov.scot/Publications/2016/12/3778</w:t>
        </w:r>
      </w:hyperlink>
      <w:r w:rsidRPr="00B77F7D">
        <w:rPr>
          <w:rStyle w:val="Hyperlink"/>
          <w:color w:val="auto"/>
          <w:u w:val="none"/>
        </w:rPr>
        <w:t>.</w:t>
      </w:r>
      <w:r w:rsidRPr="00B77F7D">
        <w:t xml:space="preserve"> </w:t>
      </w:r>
      <w:r w:rsidRPr="00B77F7D" w:rsidDel="000D58DB">
        <w:t xml:space="preserve"> </w:t>
      </w:r>
    </w:p>
  </w:footnote>
  <w:footnote w:id="10">
    <w:p w14:paraId="598A84C1"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0" w:history="1">
        <w:r w:rsidRPr="00B77F7D">
          <w:rPr>
            <w:rStyle w:val="Hyperlink"/>
          </w:rPr>
          <w:t>https://www.executiveoffice-ni.gov.uk/publications/disability-strategy-2012-%E2%80%93-2015-baseline-indicator-set</w:t>
        </w:r>
      </w:hyperlink>
      <w:r w:rsidRPr="00B77F7D">
        <w:t xml:space="preserve"> </w:t>
      </w:r>
      <w:hyperlink r:id="rId11" w:history="1">
        <w:r w:rsidRPr="00B77F7D" w:rsidDel="000D58DB">
          <w:rPr>
            <w:rStyle w:val="Hyperlink"/>
          </w:rPr>
          <w:t>http://www.ofmdfmni.gov.uk/index/equality/disability.htm</w:t>
        </w:r>
      </w:hyperlink>
      <w:r w:rsidRPr="00B77F7D" w:rsidDel="000D58DB">
        <w:t>.</w:t>
      </w:r>
    </w:p>
  </w:footnote>
  <w:footnote w:id="11">
    <w:p w14:paraId="4AF6E648" w14:textId="618DB085"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 w:history="1">
        <w:r w:rsidRPr="00B77F7D">
          <w:rPr>
            <w:rStyle w:val="Hyperlink"/>
          </w:rPr>
          <w:t>http://gov.wales/docs/dsjlg/publications/equality/151123-framework-action-independent-living-en.pdf</w:t>
        </w:r>
      </w:hyperlink>
      <w:r w:rsidRPr="00B77F7D">
        <w:t xml:space="preserve">. </w:t>
      </w:r>
    </w:p>
  </w:footnote>
  <w:footnote w:id="12">
    <w:p w14:paraId="480327B3" w14:textId="089A552D"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r w:rsidRPr="00B77F7D">
        <w:rPr>
          <w:lang w:eastAsia="en-GB"/>
        </w:rPr>
        <w:t>EUSILC UDB 2015 – version of October 2017.</w:t>
      </w:r>
    </w:p>
  </w:footnote>
  <w:footnote w:id="13">
    <w:p w14:paraId="3C16E68E" w14:textId="20C53875"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 xml:space="preserve">The SILC survey questions are contained in the Minimum European Health Module (MEHM) </w:t>
      </w:r>
      <w:hyperlink r:id="rId13" w:history="1">
        <w:r w:rsidRPr="00B77F7D">
          <w:rPr>
            <w:rStyle w:val="Hyperlink"/>
          </w:rPr>
          <w:t>http://epp.eurostat.ec.europa.eu/statistics_explained/index.php/Glossary:Minimum_European_Health_Module_(MEHM)</w:t>
        </w:r>
      </w:hyperlink>
      <w:r w:rsidRPr="00B77F7D">
        <w:rPr>
          <w:rStyle w:val="Hyperlink"/>
          <w:color w:val="auto"/>
          <w:u w:val="none"/>
        </w:rPr>
        <w:t>.</w:t>
      </w:r>
      <w:r w:rsidRPr="00B77F7D">
        <w:t xml:space="preserve"> </w:t>
      </w:r>
    </w:p>
  </w:footnote>
  <w:footnote w:id="14">
    <w:p w14:paraId="559797F9" w14:textId="185EA5EF"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 xml:space="preserve">The methodology is further explained in the annual statistical reports of ANED, available at </w:t>
      </w:r>
      <w:hyperlink r:id="rId14" w:history="1">
        <w:r w:rsidRPr="00B77F7D">
          <w:rPr>
            <w:rStyle w:val="Hyperlink"/>
          </w:rPr>
          <w:t>http://www.disability-europe.net/theme/statistical-indicators</w:t>
        </w:r>
      </w:hyperlink>
      <w:r w:rsidRPr="00B77F7D">
        <w:rPr>
          <w:rStyle w:val="Hyperlink"/>
          <w:u w:val="none"/>
        </w:rPr>
        <w:t>.</w:t>
      </w:r>
      <w:r w:rsidRPr="00B77F7D">
        <w:t xml:space="preserve"> </w:t>
      </w:r>
    </w:p>
  </w:footnote>
  <w:footnote w:id="15">
    <w:p w14:paraId="754C1F8C" w14:textId="518D1D30"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i.e. not including Northern Ireland, but regarded as reliable national estimates.</w:t>
      </w:r>
    </w:p>
  </w:footnote>
  <w:footnote w:id="16">
    <w:p w14:paraId="046328B6"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5" w:history="1">
        <w:r w:rsidRPr="00B77F7D">
          <w:rPr>
            <w:rStyle w:val="Hyperlink"/>
          </w:rPr>
          <w:t>https://www.nomisweb.co.uk/articles/833.aspx</w:t>
        </w:r>
      </w:hyperlink>
      <w:r w:rsidRPr="00B77F7D">
        <w:rPr>
          <w:rStyle w:val="Hyperlink"/>
          <w:u w:val="none"/>
        </w:rPr>
        <w:t>.</w:t>
      </w:r>
    </w:p>
  </w:footnote>
  <w:footnote w:id="17">
    <w:p w14:paraId="6B1D827D"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6" w:history="1">
        <w:r w:rsidRPr="00B77F7D">
          <w:rPr>
            <w:rStyle w:val="Hyperlink"/>
          </w:rPr>
          <w:t>https://www.gov.uk/government/uploads/system/</w:t>
        </w:r>
        <w:r w:rsidRPr="00B77F7D">
          <w:rPr>
            <w:rStyle w:val="Hyperlink"/>
          </w:rPr>
          <w:br/>
          <w:t>uploads/attachment_data/file/348871/Outcomes_and_Indicators_Framework_Progress_Report_2014_data_tables_.xls</w:t>
        </w:r>
      </w:hyperlink>
      <w:r w:rsidRPr="00B77F7D">
        <w:rPr>
          <w:rStyle w:val="Hyperlink"/>
          <w:u w:val="none"/>
        </w:rPr>
        <w:t>.</w:t>
      </w:r>
      <w:r w:rsidRPr="00B77F7D">
        <w:t xml:space="preserve"> Table 2.2</w:t>
      </w:r>
    </w:p>
  </w:footnote>
  <w:footnote w:id="18">
    <w:p w14:paraId="6623F456"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7" w:history="1">
        <w:r w:rsidRPr="00B77F7D">
          <w:rPr>
            <w:rStyle w:val="Hyperlink"/>
          </w:rPr>
          <w:t>https://www.gov.uk/government/statistics/opinions-and-lifestyle-survey-fulfilling-potential-outcomes-and-indicators-2014-data</w:t>
        </w:r>
      </w:hyperlink>
      <w:r w:rsidRPr="00B77F7D">
        <w:t>.</w:t>
      </w:r>
    </w:p>
  </w:footnote>
  <w:footnote w:id="19">
    <w:p w14:paraId="0C617C0F" w14:textId="35E0EA1E"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8" w:history="1">
        <w:r w:rsidRPr="00B77F7D">
          <w:rPr>
            <w:rStyle w:val="Hyperlink"/>
            <w:lang w:val="fr-FR"/>
          </w:rPr>
          <w:t>https://www.ons.gov.uk/file?uri=/employmentandlabourmarket/peopleinwork/employmentandemployeetypes/datasets/labourmarketstatusofdisabledpeoplea08/current/a08aug2017.xls</w:t>
        </w:r>
      </w:hyperlink>
      <w:r w:rsidRPr="00B77F7D">
        <w:rPr>
          <w:rStyle w:val="Hyperlink"/>
          <w:color w:val="auto"/>
          <w:u w:val="none"/>
          <w:lang w:val="fr-FR"/>
        </w:rPr>
        <w:t>.</w:t>
      </w:r>
      <w:r w:rsidRPr="00B77F7D">
        <w:rPr>
          <w:lang w:val="fr-FR"/>
        </w:rPr>
        <w:t xml:space="preserve">  </w:t>
      </w:r>
    </w:p>
  </w:footnote>
  <w:footnote w:id="20">
    <w:p w14:paraId="12E105BF"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9" w:history="1">
        <w:r w:rsidRPr="00B77F7D">
          <w:rPr>
            <w:rStyle w:val="Hyperlink"/>
            <w:lang w:val="fr-FR"/>
          </w:rPr>
          <w:t>https://www.gov.uk/government/uploads/system/uploads/</w:t>
        </w:r>
        <w:r w:rsidRPr="00B77F7D">
          <w:rPr>
            <w:rStyle w:val="Hyperlink"/>
            <w:lang w:val="fr-FR"/>
          </w:rPr>
          <w:br/>
          <w:t>attachment_data/file/348871/Outcomes_and_Indicators_Framework_Progress_Report_2014_data_tables_.xls</w:t>
        </w:r>
      </w:hyperlink>
      <w:r w:rsidRPr="00B77F7D">
        <w:rPr>
          <w:lang w:val="fr-FR"/>
        </w:rPr>
        <w:t>.</w:t>
      </w:r>
    </w:p>
  </w:footnote>
  <w:footnote w:id="21">
    <w:p w14:paraId="5DA63000" w14:textId="041A19F0"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20" w:history="1">
        <w:r w:rsidRPr="00B77F7D">
          <w:rPr>
            <w:rStyle w:val="Hyperlink"/>
            <w:lang w:val="fr-FR"/>
          </w:rPr>
          <w:t>https://www.ons.gov.uk/file?uri=/employmentandlabourmarket/peopleinwork/employmentandemployeetypes/datasets/labourmarketstatusofdisabledpeoplea08/current/a08aug2017.xls</w:t>
        </w:r>
      </w:hyperlink>
      <w:r w:rsidRPr="00B77F7D">
        <w:rPr>
          <w:rStyle w:val="Hyperlink"/>
          <w:color w:val="auto"/>
          <w:u w:val="none"/>
          <w:lang w:val="fr-FR"/>
        </w:rPr>
        <w:t>.</w:t>
      </w:r>
    </w:p>
  </w:footnote>
  <w:footnote w:id="22">
    <w:p w14:paraId="4B8C5201"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21" w:history="1">
        <w:r w:rsidRPr="00B77F7D">
          <w:rPr>
            <w:rStyle w:val="Hyperlink"/>
            <w:lang w:val="fr-FR"/>
          </w:rPr>
          <w:t>https://www.gov.uk/government/uploads/system/uploads/</w:t>
        </w:r>
        <w:r w:rsidRPr="00B77F7D">
          <w:rPr>
            <w:rStyle w:val="Hyperlink"/>
            <w:lang w:val="fr-FR"/>
          </w:rPr>
          <w:br/>
          <w:t>attachment_data/file/348871/Outcomes_and_Indicators_Framework_Progress_Report_2014_data_tables_.xls</w:t>
        </w:r>
      </w:hyperlink>
      <w:r w:rsidRPr="00B77F7D">
        <w:rPr>
          <w:lang w:val="fr-FR"/>
        </w:rPr>
        <w:t>.</w:t>
      </w:r>
    </w:p>
  </w:footnote>
  <w:footnote w:id="23">
    <w:p w14:paraId="6132E0AE" w14:textId="3AFC4015" w:rsidR="00B77F7D" w:rsidRPr="00B77F7D" w:rsidRDefault="00B77F7D" w:rsidP="00B77F7D">
      <w:pPr>
        <w:pStyle w:val="FootnoteText"/>
        <w:spacing w:after="0"/>
        <w:ind w:left="284" w:hanging="284"/>
        <w:rPr>
          <w:lang w:val="fr-FR"/>
        </w:rPr>
      </w:pPr>
      <w:r w:rsidRPr="00B77F7D">
        <w:rPr>
          <w:rStyle w:val="FootnoteReference"/>
        </w:rPr>
        <w:footnoteRef/>
      </w:r>
      <w:r w:rsidRPr="00B77F7D">
        <w:rPr>
          <w:rStyle w:val="Hyperlink"/>
          <w:u w:val="none"/>
          <w:lang w:val="fr-FR"/>
        </w:rPr>
        <w:t xml:space="preserve"> </w:t>
      </w:r>
      <w:hyperlink r:id="rId22" w:history="1">
        <w:r w:rsidRPr="00B77F7D">
          <w:rPr>
            <w:rStyle w:val="Hyperlink"/>
            <w:lang w:val="fr-FR"/>
          </w:rPr>
          <w:t>https://www.ons.gov.uk/file?uri=/employmentandlabourmarket/peopleinwork/employmentandemployeetypes/datasets/labourmarketstatusofdisabledpeoplea08/current/a08aug2016.xls</w:t>
        </w:r>
      </w:hyperlink>
      <w:r w:rsidRPr="00B77F7D">
        <w:rPr>
          <w:rStyle w:val="Hyperlink"/>
          <w:color w:val="auto"/>
          <w:u w:val="none"/>
          <w:lang w:val="fr-FR"/>
        </w:rPr>
        <w:t>.</w:t>
      </w:r>
    </w:p>
  </w:footnote>
  <w:footnote w:id="24">
    <w:p w14:paraId="2920F019" w14:textId="36FF3839"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 xml:space="preserve">For the LFS AHM data see, Early school leavers </w:t>
      </w:r>
      <w:hyperlink r:id="rId23" w:history="1">
        <w:r w:rsidRPr="00B77F7D">
          <w:rPr>
            <w:rStyle w:val="Hyperlink"/>
          </w:rPr>
          <w:t>http://appsso.eurostat.ec.europa.eu/nui/show.do?dataset=hlth_de010&amp;lang=en</w:t>
        </w:r>
      </w:hyperlink>
      <w:r w:rsidRPr="00B77F7D">
        <w:t xml:space="preserve"> </w:t>
      </w:r>
    </w:p>
    <w:p w14:paraId="6FA7B4C3" w14:textId="24C93D74" w:rsidR="00B77F7D" w:rsidRPr="00B77F7D" w:rsidRDefault="00B77F7D" w:rsidP="00B77F7D">
      <w:pPr>
        <w:pStyle w:val="FootnoteText"/>
        <w:spacing w:after="0"/>
        <w:ind w:left="284" w:hanging="284"/>
      </w:pPr>
      <w:r w:rsidRPr="00B77F7D">
        <w:tab/>
        <w:t xml:space="preserve">and for tertiary educational attainment </w:t>
      </w:r>
      <w:hyperlink r:id="rId24" w:history="1">
        <w:r w:rsidRPr="00B77F7D">
          <w:rPr>
            <w:rStyle w:val="Hyperlink"/>
          </w:rPr>
          <w:t>http://appsso.eurostat.ec.europa.eu/nui/show.do?dataset=hlth_de020&amp;lang=en</w:t>
        </w:r>
      </w:hyperlink>
      <w:r w:rsidRPr="00B77F7D">
        <w:rPr>
          <w:rStyle w:val="Hyperlink"/>
          <w:color w:val="auto"/>
          <w:u w:val="none"/>
        </w:rPr>
        <w:t>.</w:t>
      </w:r>
      <w:r w:rsidRPr="00B77F7D">
        <w:t xml:space="preserve"> </w:t>
      </w:r>
    </w:p>
  </w:footnote>
  <w:footnote w:id="25">
    <w:p w14:paraId="414DCAE7"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25" w:history="1">
        <w:r w:rsidRPr="00B77F7D">
          <w:rPr>
            <w:rStyle w:val="Hyperlink"/>
          </w:rPr>
          <w:t>http://epp.eurostat.ec.europa.eu/statistics_explained/</w:t>
        </w:r>
        <w:r w:rsidRPr="00B77F7D">
          <w:rPr>
            <w:rStyle w:val="Hyperlink"/>
          </w:rPr>
          <w:br/>
          <w:t>index.php/Glossary:Early_leaver_from_education_and_training</w:t>
        </w:r>
      </w:hyperlink>
      <w:r w:rsidRPr="00B77F7D">
        <w:t>.</w:t>
      </w:r>
    </w:p>
  </w:footnote>
  <w:footnote w:id="26">
    <w:p w14:paraId="606DCB85"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26" w:history="1">
        <w:r w:rsidRPr="00B77F7D">
          <w:rPr>
            <w:rStyle w:val="Hyperlink"/>
          </w:rPr>
          <w:t>http://www.uis.unesco.org/Education/</w:t>
        </w:r>
        <w:r w:rsidRPr="00B77F7D">
          <w:rPr>
            <w:rStyle w:val="Hyperlink"/>
          </w:rPr>
          <w:br/>
          <w:t>ISCEDMappings/Documents/North%20America%20and%20Western%20Europe/United_Kingdom_ISCED_mapping.xls</w:t>
        </w:r>
      </w:hyperlink>
      <w:r w:rsidRPr="00B77F7D">
        <w:t>.</w:t>
      </w:r>
    </w:p>
  </w:footnote>
  <w:footnote w:id="27">
    <w:p w14:paraId="6F2591B8" w14:textId="1986A763"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27" w:history="1">
        <w:r w:rsidRPr="00B77F7D">
          <w:rPr>
            <w:rStyle w:val="Hyperlink"/>
          </w:rPr>
          <w:t>Link to table generator</w:t>
        </w:r>
      </w:hyperlink>
      <w:r w:rsidRPr="00B77F7D">
        <w:t>.</w:t>
      </w:r>
    </w:p>
  </w:footnote>
  <w:footnote w:id="28">
    <w:p w14:paraId="0F5428F9"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28" w:history="1">
        <w:r w:rsidRPr="00B77F7D">
          <w:rPr>
            <w:rStyle w:val="Hyperlink"/>
            <w:lang w:val="fr-FR"/>
          </w:rPr>
          <w:t>https://www.gov.uk/government/uploads/system/uploads/</w:t>
        </w:r>
        <w:r w:rsidRPr="00B77F7D">
          <w:rPr>
            <w:rStyle w:val="Hyperlink"/>
            <w:lang w:val="fr-FR"/>
          </w:rPr>
          <w:br/>
          <w:t>attachment_data/file/348871/Outcomes_and_Indicators_Framework_Progress_Report_2014_data_tables_.xls</w:t>
        </w:r>
      </w:hyperlink>
      <w:r w:rsidRPr="00B77F7D">
        <w:rPr>
          <w:lang w:val="fr-FR"/>
        </w:rPr>
        <w:t>.</w:t>
      </w:r>
    </w:p>
  </w:footnote>
  <w:footnote w:id="29">
    <w:p w14:paraId="2AB485F1"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29" w:history="1">
        <w:r w:rsidRPr="00B77F7D">
          <w:rPr>
            <w:rStyle w:val="Hyperlink"/>
            <w:lang w:val="fr-FR"/>
          </w:rPr>
          <w:t>https://www.gov.uk/government/uploads/system/</w:t>
        </w:r>
        <w:r w:rsidRPr="00B77F7D">
          <w:rPr>
            <w:rStyle w:val="Hyperlink"/>
            <w:lang w:val="fr-FR"/>
          </w:rPr>
          <w:br/>
          <w:t>uploads/attachment_data/file/348871/Outcomes_and_Indicators_Framework_Progress_Report_2014_data_tables_.xls</w:t>
        </w:r>
      </w:hyperlink>
      <w:r w:rsidRPr="00B77F7D">
        <w:rPr>
          <w:lang w:val="fr-FR"/>
        </w:rPr>
        <w:t>.</w:t>
      </w:r>
    </w:p>
  </w:footnote>
  <w:footnote w:id="30">
    <w:p w14:paraId="6A832BD7"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30" w:history="1">
        <w:r w:rsidRPr="00B77F7D">
          <w:rPr>
            <w:rStyle w:val="Hyperlink"/>
            <w:lang w:val="fr-FR"/>
          </w:rPr>
          <w:t>http://www.uis.unesco.org/Education/ISCEDMappings</w:t>
        </w:r>
        <w:r w:rsidRPr="00B77F7D">
          <w:rPr>
            <w:rStyle w:val="Hyperlink"/>
            <w:lang w:val="fr-FR"/>
          </w:rPr>
          <w:br/>
          <w:t>/Documents/North%20America%20and%20Western%20Europe/United_Kingdom_ISCED_mapping.xls</w:t>
        </w:r>
      </w:hyperlink>
      <w:r w:rsidRPr="00B77F7D">
        <w:rPr>
          <w:rStyle w:val="Hyperlink"/>
          <w:u w:val="none"/>
          <w:lang w:val="fr-FR"/>
        </w:rPr>
        <w:t>.</w:t>
      </w:r>
    </w:p>
  </w:footnote>
  <w:footnote w:id="31">
    <w:p w14:paraId="4535C746" w14:textId="6896AB01"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1" w:history="1">
        <w:r w:rsidRPr="00B77F7D">
          <w:rPr>
            <w:rStyle w:val="Hyperlink"/>
          </w:rPr>
          <w:t>Link to table generator</w:t>
        </w:r>
      </w:hyperlink>
      <w:r w:rsidRPr="00B77F7D">
        <w:rPr>
          <w:rStyle w:val="Hyperlink"/>
          <w:u w:val="none"/>
        </w:rPr>
        <w:t>.</w:t>
      </w:r>
    </w:p>
  </w:footnote>
  <w:footnote w:id="32">
    <w:p w14:paraId="4E6F063F" w14:textId="6DB2525D"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32" w:history="1">
        <w:r w:rsidRPr="00B77F7D">
          <w:rPr>
            <w:rStyle w:val="Hyperlink"/>
          </w:rPr>
          <w:t>http://tbinternet.ohchr.org/_layouts/treatybodyexternal/Download.aspx?symbolno=CRPD%2fC%2fGBR%2fCO%2f1&amp;Lang=en</w:t>
        </w:r>
      </w:hyperlink>
      <w:r>
        <w:rPr>
          <w:rStyle w:val="Hyperlink"/>
          <w:color w:val="auto"/>
          <w:u w:val="none"/>
        </w:rPr>
        <w:t>.</w:t>
      </w:r>
      <w:r w:rsidRPr="00B77F7D">
        <w:t xml:space="preserve"> </w:t>
      </w:r>
    </w:p>
  </w:footnote>
  <w:footnote w:id="33">
    <w:p w14:paraId="3B2A9F0C" w14:textId="3130DFBB"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3" w:history="1">
        <w:r w:rsidRPr="00CC3E61">
          <w:rPr>
            <w:rStyle w:val="Hyperlink"/>
          </w:rPr>
          <w:t>http://ec.europa.eu/europe2020/pdf/csr2016/csr2016_uk_en.pdf</w:t>
        </w:r>
      </w:hyperlink>
      <w:r w:rsidRPr="00B77F7D">
        <w:t>. p. 4.</w:t>
      </w:r>
    </w:p>
  </w:footnote>
  <w:footnote w:id="34">
    <w:p w14:paraId="28C21CC1" w14:textId="772B2C03"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34" w:history="1">
        <w:r w:rsidRPr="00B77F7D">
          <w:rPr>
            <w:rStyle w:val="Hyperlink"/>
          </w:rPr>
          <w:t>https://www.ons.gov.uk/employmentandlabourmarket/peopleinwork/employmentandemployeetypes/bulletins/uklabourmarket/june2017</w:t>
        </w:r>
      </w:hyperlink>
      <w:r w:rsidRPr="00B77F7D">
        <w:t>.</w:t>
      </w:r>
    </w:p>
  </w:footnote>
  <w:footnote w:id="35">
    <w:p w14:paraId="764471AF"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5" w:history="1">
        <w:r w:rsidRPr="00B77F7D">
          <w:rPr>
            <w:rStyle w:val="Hyperlink"/>
          </w:rPr>
          <w:t>http://www.ons.gov.uk/ons/rel/los/life-opportunities-survey/wave-three--final-report--october-2012-to-september-2014/rpt-chapter-3.html</w:t>
        </w:r>
      </w:hyperlink>
      <w:r w:rsidRPr="00B77F7D">
        <w:rPr>
          <w:rStyle w:val="Hyperlink"/>
          <w:u w:val="none"/>
        </w:rPr>
        <w:t>.</w:t>
      </w:r>
      <w:r w:rsidRPr="00B77F7D">
        <w:t xml:space="preserve"> </w:t>
      </w:r>
    </w:p>
  </w:footnote>
  <w:footnote w:id="36">
    <w:p w14:paraId="3ACA4AC0" w14:textId="6994353E"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6" w:history="1">
        <w:r w:rsidRPr="00B77F7D">
          <w:rPr>
            <w:rStyle w:val="Hyperlink"/>
          </w:rPr>
          <w:t>http://www.ons.gov.uk/ons/rel/los/life-opportunities-survey/wave-two--part-ii/rpt-chapter-3.html</w:t>
        </w:r>
      </w:hyperlink>
      <w:r w:rsidRPr="00B77F7D">
        <w:t>.</w:t>
      </w:r>
    </w:p>
  </w:footnote>
  <w:footnote w:id="37">
    <w:p w14:paraId="01F3B7DC"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7" w:history="1">
        <w:r w:rsidRPr="00B77F7D">
          <w:rPr>
            <w:rStyle w:val="Hyperlink"/>
          </w:rPr>
          <w:t>http://www.parliament.uk/briefing-papers/SN06705.pdf</w:t>
        </w:r>
      </w:hyperlink>
      <w:r w:rsidRPr="00B77F7D">
        <w:rPr>
          <w:rStyle w:val="Hyperlink"/>
          <w:u w:val="none"/>
        </w:rPr>
        <w:t>.</w:t>
      </w:r>
      <w:r w:rsidRPr="00B77F7D">
        <w:t xml:space="preserve"> </w:t>
      </w:r>
    </w:p>
  </w:footnote>
  <w:footnote w:id="38">
    <w:p w14:paraId="0100169F"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8" w:history="1">
        <w:r w:rsidRPr="00B77F7D">
          <w:rPr>
            <w:rStyle w:val="Hyperlink"/>
          </w:rPr>
          <w:t>http://dx.doi.org/10.1787/888932439843</w:t>
        </w:r>
      </w:hyperlink>
      <w:r w:rsidRPr="00B77F7D">
        <w:rPr>
          <w:rStyle w:val="Hyperlink"/>
          <w:u w:val="none"/>
        </w:rPr>
        <w:t>.</w:t>
      </w:r>
      <w:r w:rsidRPr="00B77F7D">
        <w:t xml:space="preserve"> </w:t>
      </w:r>
    </w:p>
  </w:footnote>
  <w:footnote w:id="39">
    <w:p w14:paraId="5C3DB06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39" w:anchor="tab-3-5-Work-status-and-educational-attainment" w:history="1">
        <w:r w:rsidRPr="00B77F7D">
          <w:rPr>
            <w:rStyle w:val="Hyperlink"/>
          </w:rPr>
          <w:t>http://www.ons.gov.uk/ons/rel/los/life-opportunities-survey/wave-three--final-report--october-2012-to-september-2014/rpt-chapter-3.html#tab-3-5-Work-status-and-educational-attainment</w:t>
        </w:r>
      </w:hyperlink>
      <w:r w:rsidRPr="00B77F7D">
        <w:rPr>
          <w:rStyle w:val="Hyperlink"/>
          <w:u w:val="none"/>
        </w:rPr>
        <w:t>.</w:t>
      </w:r>
      <w:r w:rsidRPr="00B77F7D">
        <w:t xml:space="preserve"> </w:t>
      </w:r>
    </w:p>
  </w:footnote>
  <w:footnote w:id="40">
    <w:p w14:paraId="5D2D5CEB" w14:textId="6BBFB014"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hyperlink r:id="rId40" w:history="1">
        <w:r w:rsidRPr="00CC3E61">
          <w:rPr>
            <w:rStyle w:val="Hyperlink"/>
          </w:rPr>
          <w:t>http://www.hefce.ac.uk/analysis/HEinEngland/students/disability/</w:t>
        </w:r>
      </w:hyperlink>
      <w:r>
        <w:t>.</w:t>
      </w:r>
      <w:r w:rsidRPr="00B77F7D">
        <w:t xml:space="preserve"> </w:t>
      </w:r>
    </w:p>
  </w:footnote>
  <w:footnote w:id="41">
    <w:p w14:paraId="27B9E0A3" w14:textId="40ED5172"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hyperlink r:id="rId41" w:history="1">
        <w:r w:rsidRPr="00CC3E61">
          <w:rPr>
            <w:rStyle w:val="Hyperlink"/>
          </w:rPr>
          <w:t>http://www.hefce.ac.uk/analysis/HEinEngland/students/disability/</w:t>
        </w:r>
      </w:hyperlink>
      <w:r>
        <w:t>.</w:t>
      </w:r>
      <w:r w:rsidRPr="00B77F7D">
        <w:t xml:space="preserve"> </w:t>
      </w:r>
    </w:p>
  </w:footnote>
  <w:footnote w:id="42">
    <w:p w14:paraId="45A47E76"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2" w:history="1">
        <w:r w:rsidRPr="00B77F7D">
          <w:rPr>
            <w:rStyle w:val="Hyperlink"/>
          </w:rPr>
          <w:t>http://www.publications.parliament.uk/pa/</w:t>
        </w:r>
        <w:r w:rsidRPr="00B77F7D">
          <w:rPr>
            <w:rStyle w:val="Hyperlink"/>
          </w:rPr>
          <w:br/>
          <w:t>cm200910/cmselect/cmchilsch/memo/youngpeo/me24.htm</w:t>
        </w:r>
      </w:hyperlink>
      <w:r w:rsidRPr="00B77F7D">
        <w:t xml:space="preserve">. </w:t>
      </w:r>
    </w:p>
  </w:footnote>
  <w:footnote w:id="43">
    <w:p w14:paraId="52944D0F"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3" w:anchor="a10" w:history="1">
        <w:r w:rsidRPr="00B77F7D">
          <w:rPr>
            <w:rStyle w:val="Hyperlink"/>
          </w:rPr>
          <w:t>http://webarchive.nationalarchives.gov.uk/20131128110838/http:/odi.dwp.gov.uk/disability-statistics-and-research/disability-equality-indicators.php#a10</w:t>
        </w:r>
      </w:hyperlink>
      <w:r w:rsidRPr="00B77F7D">
        <w:t>.</w:t>
      </w:r>
    </w:p>
  </w:footnote>
  <w:footnote w:id="44">
    <w:p w14:paraId="633C50BE" w14:textId="2ADCD5FE"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44" w:history="1">
        <w:r w:rsidRPr="00B77F7D">
          <w:rPr>
            <w:rStyle w:val="Hyperlink"/>
          </w:rPr>
          <w:t>http://tbinternet.ohchr.org/_layouts/treatybodyexternal/Download.aspx?symbolno=CRPD%2fC%2fGBR%2fCO%2f1&amp;Lang=en</w:t>
        </w:r>
      </w:hyperlink>
      <w:r>
        <w:rPr>
          <w:rStyle w:val="Hyperlink"/>
          <w:color w:val="auto"/>
          <w:u w:val="none"/>
        </w:rPr>
        <w:t>.</w:t>
      </w:r>
      <w:r w:rsidRPr="00B77F7D">
        <w:t xml:space="preserve"> </w:t>
      </w:r>
    </w:p>
  </w:footnote>
  <w:footnote w:id="45">
    <w:p w14:paraId="7E40E2FA" w14:textId="16624C2C"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r w:rsidRPr="00B77F7D">
        <w:t xml:space="preserve">Eurostat disability database (hlth_dpe030) </w:t>
      </w:r>
      <w:hyperlink r:id="rId45" w:history="1">
        <w:r w:rsidRPr="00B77F7D">
          <w:rPr>
            <w:rStyle w:val="Hyperlink"/>
          </w:rPr>
          <w:t>http://ec.europa.eu/eurostat/web/health/disability/data/database</w:t>
        </w:r>
      </w:hyperlink>
      <w:r>
        <w:rPr>
          <w:rStyle w:val="Hyperlink"/>
          <w:color w:val="auto"/>
          <w:u w:val="none"/>
        </w:rPr>
        <w:t>.</w:t>
      </w:r>
      <w:r w:rsidRPr="00B77F7D">
        <w:rPr>
          <w:rStyle w:val="Hyperlink"/>
        </w:rPr>
        <w:t xml:space="preserve"> </w:t>
      </w:r>
    </w:p>
  </w:footnote>
  <w:footnote w:id="46">
    <w:p w14:paraId="1E5D0A46" w14:textId="5343D42B"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46" w:history="1">
        <w:r w:rsidRPr="00B77F7D">
          <w:rPr>
            <w:rStyle w:val="Hyperlink"/>
          </w:rPr>
          <w:t>http://www.ons.gov.uk/employmentandlabourmarket/peopleinwork/employmentandemployeetypes/bulletins/workingandworklesshouseholds/aprtojune2016</w:t>
        </w:r>
      </w:hyperlink>
      <w:r w:rsidRPr="00B77F7D">
        <w:t>.</w:t>
      </w:r>
    </w:p>
  </w:footnote>
  <w:footnote w:id="47">
    <w:p w14:paraId="725FE064"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7" w:history="1">
        <w:r w:rsidRPr="00B77F7D">
          <w:rPr>
            <w:rStyle w:val="Hyperlink"/>
          </w:rPr>
          <w:t>http://www.jrf.org.uk/media-centre/young-working-and-renting-uk-poverty-65931</w:t>
        </w:r>
      </w:hyperlink>
      <w:r w:rsidRPr="00B77F7D">
        <w:t>.</w:t>
      </w:r>
    </w:p>
  </w:footnote>
  <w:footnote w:id="48">
    <w:p w14:paraId="633048AC"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8" w:history="1">
        <w:r w:rsidRPr="00B77F7D">
          <w:rPr>
            <w:rStyle w:val="Hyperlink"/>
          </w:rPr>
          <w:t>http://www.poverty.org.uk/reports/disability.pdf</w:t>
        </w:r>
      </w:hyperlink>
      <w:r w:rsidRPr="00B77F7D">
        <w:t>.</w:t>
      </w:r>
    </w:p>
  </w:footnote>
  <w:footnote w:id="49">
    <w:p w14:paraId="4E60E180"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49" w:history="1">
        <w:r w:rsidRPr="00B77F7D">
          <w:rPr>
            <w:rStyle w:val="Hyperlink"/>
          </w:rPr>
          <w:t>http://www.jrf.org.uk/sites/files/jrf/MPSE-2014-FULL.pdf</w:t>
        </w:r>
      </w:hyperlink>
      <w:r w:rsidRPr="00B77F7D">
        <w:t xml:space="preserve"> (see page 32, including data graphs).</w:t>
      </w:r>
    </w:p>
  </w:footnote>
  <w:footnote w:id="50">
    <w:p w14:paraId="75B7BE5E"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50" w:history="1">
        <w:r w:rsidRPr="00B77F7D">
          <w:rPr>
            <w:rStyle w:val="Hyperlink"/>
          </w:rPr>
          <w:t>www.equalityhumanrights.com/IsBritainFairer</w:t>
        </w:r>
      </w:hyperlink>
      <w:r w:rsidRPr="00B77F7D">
        <w:t>.</w:t>
      </w:r>
    </w:p>
  </w:footnote>
  <w:footnote w:id="51">
    <w:p w14:paraId="250F184E" w14:textId="5A1972D6"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hyperlink r:id="rId51" w:history="1">
        <w:r w:rsidRPr="00CC3E61">
          <w:rPr>
            <w:rStyle w:val="Hyperlink"/>
          </w:rPr>
          <w:t>http://npi.org.uk/files/3414/7087/2429/Disability_and_poverty_MAIN_REPORT_FINAL.pdf</w:t>
        </w:r>
      </w:hyperlink>
      <w:r w:rsidRPr="00B77F7D">
        <w:t>.</w:t>
      </w:r>
    </w:p>
  </w:footnote>
  <w:footnote w:id="52">
    <w:p w14:paraId="7FDDD5D7" w14:textId="4A97A883"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52" w:history="1">
        <w:r w:rsidRPr="00B77F7D">
          <w:rPr>
            <w:rStyle w:val="Hyperlink"/>
          </w:rPr>
          <w:t>http://tbinternet.ohchr.org/_layouts/treatybodyexternal/Download.aspx?symbolno=CRPD%2fC%2fGBR%2fCO%2f1&amp;Lang=en</w:t>
        </w:r>
      </w:hyperlink>
      <w:r>
        <w:t>.</w:t>
      </w:r>
    </w:p>
  </w:footnote>
  <w:footnote w:id="53">
    <w:p w14:paraId="3E9B59E4"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53" w:history="1">
        <w:r w:rsidRPr="00B77F7D">
          <w:rPr>
            <w:rStyle w:val="Hyperlink"/>
          </w:rPr>
          <w:t>https://www.parliament.uk/business/committees/committees-a-z/commons-select/work-and-pensions-committee/news-parliament-2015/disability-employment-gap-launch-15-16/</w:t>
        </w:r>
      </w:hyperlink>
      <w:r w:rsidRPr="00B77F7D">
        <w:t>.</w:t>
      </w:r>
    </w:p>
  </w:footnote>
  <w:footnote w:id="54">
    <w:p w14:paraId="3BB18C74" w14:textId="720CEABC" w:rsidR="00B77F7D" w:rsidRPr="00B77F7D" w:rsidRDefault="00B77F7D" w:rsidP="00B77F7D">
      <w:pPr>
        <w:pStyle w:val="FootnoteText"/>
        <w:tabs>
          <w:tab w:val="left" w:pos="0"/>
        </w:tabs>
        <w:spacing w:after="0"/>
        <w:ind w:left="284" w:hanging="284"/>
      </w:pPr>
      <w:r w:rsidRPr="00B77F7D">
        <w:rPr>
          <w:rStyle w:val="FootnoteReference"/>
        </w:rPr>
        <w:footnoteRef/>
      </w:r>
      <w:r w:rsidRPr="00B77F7D">
        <w:t xml:space="preserve"> </w:t>
      </w:r>
      <w:r w:rsidRPr="00B77F7D">
        <w:tab/>
        <w:t xml:space="preserve">See Table 2, </w:t>
      </w:r>
      <w:hyperlink r:id="rId54" w:history="1">
        <w:r w:rsidRPr="00B77F7D">
          <w:rPr>
            <w:rStyle w:val="Hyperlink"/>
          </w:rPr>
          <w:t>https://www.gov.uk/government/uploads/system/uploads/attachment_data/file/525175/mandatory-programmes-statistics-to-feb-2016.pdf</w:t>
        </w:r>
      </w:hyperlink>
      <w:r w:rsidRPr="00B77F7D">
        <w:t>.</w:t>
      </w:r>
    </w:p>
  </w:footnote>
  <w:footnote w:id="55">
    <w:p w14:paraId="7644D94B" w14:textId="0E2D27C8"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hyperlink r:id="rId55" w:anchor="fullreport" w:history="1">
        <w:r w:rsidRPr="00CC3E61">
          <w:rPr>
            <w:rStyle w:val="Hyperlink"/>
          </w:rPr>
          <w:t>http://researchbriefings.parliament.uk/ResearchBriefing/Summary/CBP-7845#fullreport</w:t>
        </w:r>
      </w:hyperlink>
      <w:r>
        <w:rPr>
          <w:rStyle w:val="Hyperlink"/>
          <w:color w:val="auto"/>
          <w:u w:val="none"/>
        </w:rPr>
        <w:t>.</w:t>
      </w:r>
      <w:r w:rsidRPr="00B77F7D">
        <w:t xml:space="preserve"> </w:t>
      </w:r>
    </w:p>
  </w:footnote>
  <w:footnote w:id="56">
    <w:p w14:paraId="3FF43C8B"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Presentation workshops have been held but we are unable to provide published sources.</w:t>
      </w:r>
    </w:p>
  </w:footnote>
  <w:footnote w:id="57">
    <w:p w14:paraId="718DF180" w14:textId="77777777" w:rsidR="00B77F7D" w:rsidRPr="00B77F7D" w:rsidRDefault="00B77F7D" w:rsidP="00B77F7D">
      <w:pPr>
        <w:pStyle w:val="FootnoteText"/>
        <w:tabs>
          <w:tab w:val="left" w:pos="0"/>
        </w:tabs>
        <w:spacing w:after="0"/>
        <w:ind w:left="284" w:hanging="284"/>
      </w:pPr>
      <w:r w:rsidRPr="00B77F7D">
        <w:rPr>
          <w:rStyle w:val="FootnoteReference"/>
        </w:rPr>
        <w:footnoteRef/>
      </w:r>
      <w:r w:rsidRPr="00B77F7D">
        <w:t xml:space="preserve"> </w:t>
      </w:r>
      <w:r w:rsidRPr="00B77F7D">
        <w:tab/>
      </w:r>
      <w:hyperlink r:id="rId56" w:history="1">
        <w:r w:rsidRPr="00B77F7D">
          <w:rPr>
            <w:rStyle w:val="Hyperlink"/>
          </w:rPr>
          <w:t>https://www.gov.uk/government/uploads/system/uploads/attachment_data/file/193323/rrep821.pdf</w:t>
        </w:r>
      </w:hyperlink>
      <w:r w:rsidRPr="00B77F7D">
        <w:t>.</w:t>
      </w:r>
    </w:p>
  </w:footnote>
  <w:footnote w:id="58">
    <w:p w14:paraId="561DA799" w14:textId="77777777" w:rsidR="00B77F7D" w:rsidRPr="00B77F7D" w:rsidRDefault="00B77F7D" w:rsidP="00B77F7D">
      <w:pPr>
        <w:pStyle w:val="FootnoteText"/>
        <w:tabs>
          <w:tab w:val="left" w:pos="0"/>
        </w:tabs>
        <w:spacing w:after="0"/>
        <w:ind w:left="284" w:hanging="284"/>
      </w:pPr>
      <w:r w:rsidRPr="00B77F7D">
        <w:rPr>
          <w:rStyle w:val="FootnoteReference"/>
        </w:rPr>
        <w:footnoteRef/>
      </w:r>
      <w:r w:rsidRPr="00B77F7D">
        <w:t xml:space="preserve"> </w:t>
      </w:r>
      <w:r w:rsidRPr="00B77F7D">
        <w:tab/>
      </w:r>
      <w:hyperlink r:id="rId57" w:history="1">
        <w:r w:rsidRPr="00B77F7D">
          <w:rPr>
            <w:rStyle w:val="Hyperlink"/>
          </w:rPr>
          <w:t>https://www.gov.uk/government/uploads/system/uploads/attachment_data/file/477460/work-choice-statistics-sep-2015.pdf</w:t>
        </w:r>
      </w:hyperlink>
      <w:r w:rsidRPr="00B77F7D">
        <w:t>.</w:t>
      </w:r>
    </w:p>
  </w:footnote>
  <w:footnote w:id="59">
    <w:p w14:paraId="4AB38D18" w14:textId="6C92730F" w:rsidR="00B77F7D" w:rsidRPr="00B77F7D" w:rsidRDefault="00B77F7D" w:rsidP="00B77F7D">
      <w:pPr>
        <w:pStyle w:val="FootnoteText"/>
        <w:spacing w:after="0"/>
        <w:ind w:left="284" w:hanging="284"/>
      </w:pPr>
      <w:r w:rsidRPr="00B77F7D">
        <w:rPr>
          <w:rStyle w:val="FootnoteReference"/>
        </w:rPr>
        <w:footnoteRef/>
      </w:r>
      <w:r w:rsidRPr="00B77F7D">
        <w:t xml:space="preserve"> </w:t>
      </w:r>
      <w:r>
        <w:tab/>
      </w:r>
      <w:hyperlink r:id="rId58" w:history="1">
        <w:r w:rsidRPr="00B77F7D">
          <w:rPr>
            <w:rStyle w:val="Hyperlink"/>
          </w:rPr>
          <w:t>https://www.gov.uk/government/uploads/system/uploads/attachment_data/file/615669/work-choice-statistics-to-march-2017.pdf</w:t>
        </w:r>
      </w:hyperlink>
      <w:r>
        <w:t>.</w:t>
      </w:r>
    </w:p>
  </w:footnote>
  <w:footnote w:id="60">
    <w:p w14:paraId="4CB260BF" w14:textId="53D85781"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59" w:history="1">
        <w:r w:rsidRPr="00B77F7D">
          <w:rPr>
            <w:rStyle w:val="Hyperlink"/>
          </w:rPr>
          <w:t>https://www.gov.uk/government/publications/intensive-activity-programme-trial-evaluation</w:t>
        </w:r>
      </w:hyperlink>
      <w:r w:rsidRPr="00B77F7D">
        <w:t>.</w:t>
      </w:r>
    </w:p>
  </w:footnote>
  <w:footnote w:id="61">
    <w:p w14:paraId="340E301E" w14:textId="21D46376"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t xml:space="preserve">See Table 2, </w:t>
      </w:r>
      <w:hyperlink r:id="rId60" w:history="1">
        <w:r w:rsidRPr="00B77F7D">
          <w:rPr>
            <w:rStyle w:val="Hyperlink"/>
          </w:rPr>
          <w:t>https://www.gov.uk/government/uploads/system/uploads/attachment_data/file/550389/youth-offer-statistics-to-may-2016.pdf</w:t>
        </w:r>
      </w:hyperlink>
      <w:r w:rsidRPr="00B77F7D">
        <w:t>.</w:t>
      </w:r>
    </w:p>
  </w:footnote>
  <w:footnote w:id="62">
    <w:p w14:paraId="6D63343A" w14:textId="12EE610D"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61" w:history="1">
        <w:r w:rsidR="00556283" w:rsidRPr="00CC3E61">
          <w:rPr>
            <w:rStyle w:val="Hyperlink"/>
          </w:rPr>
          <w:t>https://www.gov.uk/government/uploads/system/uploads/attachment_data/file/640511/employment-schemes-statistics-to-may-2017.pdf</w:t>
        </w:r>
      </w:hyperlink>
      <w:r w:rsidR="00556283">
        <w:t>.</w:t>
      </w:r>
      <w:r w:rsidRPr="00B77F7D">
        <w:t xml:space="preserve"> </w:t>
      </w:r>
    </w:p>
  </w:footnote>
  <w:footnote w:id="63">
    <w:p w14:paraId="2E3FF811" w14:textId="3969F5F3"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62" w:history="1">
        <w:r w:rsidRPr="00B77F7D">
          <w:rPr>
            <w:rStyle w:val="Hyperlink"/>
          </w:rPr>
          <w:t>https://www.gov.uk/government/uploads/system/uploads/attachment_data/file/553879/access-to-work-october-2016-statistical-notice.pdf</w:t>
        </w:r>
      </w:hyperlink>
      <w:r w:rsidRPr="00B77F7D">
        <w:t>.</w:t>
      </w:r>
    </w:p>
  </w:footnote>
  <w:footnote w:id="64">
    <w:p w14:paraId="671C6D9A" w14:textId="5C81569D"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63" w:history="1">
        <w:r w:rsidRPr="00B77F7D">
          <w:rPr>
            <w:rStyle w:val="Hyperlink"/>
          </w:rPr>
          <w:t>https://www.gov.uk/government/uploads/system/uploads/attachment_data/file/538443/access-to-work-statistics-march-2016.pdf</w:t>
        </w:r>
      </w:hyperlink>
      <w:r w:rsidRPr="00B77F7D">
        <w:t>.</w:t>
      </w:r>
    </w:p>
  </w:footnote>
  <w:footnote w:id="65">
    <w:p w14:paraId="2F0172E6" w14:textId="462B14E6" w:rsidR="00B77F7D" w:rsidRPr="00556283" w:rsidRDefault="00B77F7D" w:rsidP="00B77F7D">
      <w:pPr>
        <w:pStyle w:val="FootnoteText"/>
        <w:spacing w:after="0"/>
        <w:ind w:left="284" w:hanging="284"/>
      </w:pPr>
      <w:r w:rsidRPr="00B77F7D">
        <w:rPr>
          <w:rStyle w:val="FootnoteReference"/>
        </w:rPr>
        <w:footnoteRef/>
      </w:r>
      <w:r w:rsidRPr="00B77F7D">
        <w:t xml:space="preserve"> </w:t>
      </w:r>
      <w:hyperlink r:id="rId64" w:history="1">
        <w:r w:rsidR="00556283" w:rsidRPr="00556283">
          <w:rPr>
            <w:rStyle w:val="Hyperlink"/>
          </w:rPr>
          <w:tab/>
        </w:r>
        <w:r w:rsidRPr="00556283">
          <w:rPr>
            <w:rStyle w:val="Hyperlink"/>
          </w:rPr>
          <w:t>https://www.gov.uk/government/uploads/system/uploads/attachment_data/file/650163/access-to-work-statistics-april-2007-to-march-2017.pdf</w:t>
        </w:r>
      </w:hyperlink>
      <w:r w:rsidR="00556283">
        <w:t>.</w:t>
      </w:r>
    </w:p>
  </w:footnote>
  <w:footnote w:id="66">
    <w:p w14:paraId="16FBDBF6" w14:textId="20495BE1"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65" w:history="1">
        <w:r w:rsidRPr="00B77F7D">
          <w:rPr>
            <w:rStyle w:val="Hyperlink"/>
          </w:rPr>
          <w:t>http://stopchanges2atw.com/march-with-us/</w:t>
        </w:r>
      </w:hyperlink>
      <w:r w:rsidRPr="00B77F7D">
        <w:t>.</w:t>
      </w:r>
    </w:p>
  </w:footnote>
  <w:footnote w:id="67">
    <w:p w14:paraId="6FD1BCC0" w14:textId="3007E77F" w:rsidR="00B77F7D" w:rsidRPr="00B77F7D" w:rsidRDefault="00B77F7D" w:rsidP="00B77F7D">
      <w:pPr>
        <w:pStyle w:val="FootnoteText"/>
        <w:spacing w:after="0"/>
        <w:ind w:left="284" w:hanging="284"/>
      </w:pPr>
      <w:r w:rsidRPr="00B77F7D">
        <w:rPr>
          <w:rStyle w:val="FootnoteReference"/>
        </w:rPr>
        <w:footnoteRef/>
      </w:r>
      <w:r w:rsidRPr="00B77F7D">
        <w:t xml:space="preserve"> </w:t>
      </w:r>
      <w:hyperlink r:id="rId66" w:history="1">
        <w:r w:rsidRPr="00B77F7D">
          <w:rPr>
            <w:rStyle w:val="Hyperlink"/>
          </w:rPr>
          <w:t>http://tbinternet.ohchr.org/_layouts/treatybodyexternal/Download.aspx?symbolno=CRPD%2fC%2fGBR%2fCO%2f1&amp;Lang=en</w:t>
        </w:r>
      </w:hyperlink>
      <w:r w:rsidR="00556283">
        <w:rPr>
          <w:rStyle w:val="Hyperlink"/>
          <w:color w:val="auto"/>
          <w:u w:val="none"/>
        </w:rPr>
        <w:t>.</w:t>
      </w:r>
      <w:r w:rsidRPr="00B77F7D">
        <w:t xml:space="preserve"> </w:t>
      </w:r>
    </w:p>
  </w:footnote>
  <w:footnote w:id="68">
    <w:p w14:paraId="6D44CB34" w14:textId="06903B3E" w:rsidR="00B77F7D" w:rsidRPr="00B77F7D" w:rsidRDefault="00B77F7D" w:rsidP="00B77F7D">
      <w:pPr>
        <w:pStyle w:val="FootnoteText"/>
        <w:spacing w:after="0"/>
        <w:ind w:left="284" w:hanging="284"/>
      </w:pPr>
      <w:r w:rsidRPr="00B77F7D">
        <w:rPr>
          <w:rStyle w:val="FootnoteReference"/>
        </w:rPr>
        <w:footnoteRef/>
      </w:r>
      <w:r w:rsidRPr="00B77F7D">
        <w:t xml:space="preserve"> </w:t>
      </w:r>
      <w:r w:rsidR="00556283">
        <w:tab/>
      </w:r>
      <w:hyperlink r:id="rId67" w:anchor="EndDec" w:history="1">
        <w:r w:rsidR="00556283" w:rsidRPr="00CC3E61">
          <w:rPr>
            <w:rStyle w:val="Hyperlink"/>
          </w:rPr>
          <w:t>https://treaties.un.org/Pages/ViewDetails.aspx?src=IND&amp;mtdsg_no=IV-15&amp;chapter=4&amp;lang=en#EndDec</w:t>
        </w:r>
      </w:hyperlink>
      <w:r w:rsidR="00556283">
        <w:t>.</w:t>
      </w:r>
      <w:r w:rsidRPr="00B77F7D">
        <w:t xml:space="preserve"> </w:t>
      </w:r>
    </w:p>
  </w:footnote>
  <w:footnote w:id="69">
    <w:p w14:paraId="706AC8F4" w14:textId="2934C56A" w:rsidR="00B77F7D" w:rsidRPr="00B77F7D" w:rsidRDefault="00B77F7D" w:rsidP="00B77F7D">
      <w:pPr>
        <w:pStyle w:val="FootnoteText"/>
        <w:spacing w:after="0"/>
        <w:ind w:left="284" w:hanging="284"/>
      </w:pPr>
      <w:r w:rsidRPr="00B77F7D">
        <w:rPr>
          <w:rStyle w:val="FootnoteReference"/>
        </w:rPr>
        <w:footnoteRef/>
      </w:r>
      <w:r w:rsidRPr="00B77F7D">
        <w:t xml:space="preserve"> </w:t>
      </w:r>
      <w:r w:rsidR="00556283">
        <w:tab/>
      </w:r>
      <w:r w:rsidRPr="00B77F7D">
        <w:t xml:space="preserve">See National Tables, Tables 9 and 10 </w:t>
      </w:r>
      <w:hyperlink r:id="rId68" w:history="1">
        <w:r w:rsidRPr="00B77F7D">
          <w:rPr>
            <w:rStyle w:val="Hyperlink"/>
          </w:rPr>
          <w:t>https://www.gov.uk/government/statistics/special-educational-needs-in-england-january-2017</w:t>
        </w:r>
      </w:hyperlink>
      <w:r w:rsidR="00556283">
        <w:rPr>
          <w:rStyle w:val="Hyperlink"/>
          <w:u w:val="none"/>
        </w:rPr>
        <w:t>.</w:t>
      </w:r>
      <w:r w:rsidRPr="00B77F7D">
        <w:t xml:space="preserve"> </w:t>
      </w:r>
    </w:p>
  </w:footnote>
  <w:footnote w:id="70">
    <w:p w14:paraId="5CFEA6D0"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69" w:history="1">
        <w:r w:rsidRPr="00B77F7D">
          <w:rPr>
            <w:rStyle w:val="Hyperlink"/>
            <w:lang w:val="fr-FR"/>
          </w:rPr>
          <w:t>https://www.gov.uk/children-with-special-educational-needs/extra-SEN-help</w:t>
        </w:r>
      </w:hyperlink>
      <w:r w:rsidRPr="00B77F7D">
        <w:rPr>
          <w:rStyle w:val="Hyperlink"/>
          <w:u w:val="none"/>
          <w:lang w:val="fr-FR"/>
        </w:rPr>
        <w:t>.</w:t>
      </w:r>
      <w:r w:rsidRPr="00B77F7D">
        <w:rPr>
          <w:lang w:val="fr-FR"/>
        </w:rPr>
        <w:t xml:space="preserve"> </w:t>
      </w:r>
    </w:p>
  </w:footnote>
  <w:footnote w:id="71">
    <w:p w14:paraId="2D1066BA" w14:textId="010D9311" w:rsidR="00B77F7D" w:rsidRPr="00556283" w:rsidRDefault="00B77F7D" w:rsidP="00B77F7D">
      <w:pPr>
        <w:pStyle w:val="FootnoteText"/>
        <w:spacing w:after="0"/>
        <w:ind w:left="284" w:hanging="284"/>
      </w:pPr>
      <w:r w:rsidRPr="00B77F7D">
        <w:rPr>
          <w:rStyle w:val="FootnoteReference"/>
        </w:rPr>
        <w:footnoteRef/>
      </w:r>
      <w:r w:rsidRPr="00B77F7D">
        <w:t xml:space="preserve"> </w:t>
      </w:r>
      <w:r w:rsidR="00556283">
        <w:tab/>
      </w:r>
      <w:r w:rsidRPr="00B77F7D">
        <w:t xml:space="preserve">See National Tables, Tables 1 </w:t>
      </w:r>
      <w:hyperlink r:id="rId70" w:history="1">
        <w:r w:rsidRPr="00B77F7D">
          <w:rPr>
            <w:rStyle w:val="Hyperlink"/>
          </w:rPr>
          <w:t>https://www.gov.uk/government/statistics/special-educational-needs-in-england-january-2017</w:t>
        </w:r>
      </w:hyperlink>
      <w:r w:rsidR="00556283">
        <w:rPr>
          <w:rStyle w:val="Hyperlink"/>
          <w:u w:val="none"/>
        </w:rPr>
        <w:t>.</w:t>
      </w:r>
    </w:p>
  </w:footnote>
  <w:footnote w:id="72">
    <w:p w14:paraId="305267DC"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1" w:history="1">
        <w:r w:rsidRPr="00B77F7D">
          <w:rPr>
            <w:rStyle w:val="Hyperlink"/>
            <w:lang w:val="fr-FR"/>
          </w:rPr>
          <w:t>https://www.gov.uk/government/uploads/system/uploads</w:t>
        </w:r>
        <w:r w:rsidRPr="00B77F7D">
          <w:rPr>
            <w:rStyle w:val="Hyperlink"/>
            <w:lang w:val="fr-FR"/>
          </w:rPr>
          <w:br/>
          <w:t>/attachment_data/file/275104/RR326B_EHC_planning_pathway_-_FINAL.pdf</w:t>
        </w:r>
      </w:hyperlink>
      <w:r w:rsidRPr="00B77F7D">
        <w:rPr>
          <w:lang w:val="fr-FR"/>
        </w:rPr>
        <w:t xml:space="preserve">. </w:t>
      </w:r>
    </w:p>
  </w:footnote>
  <w:footnote w:id="73">
    <w:p w14:paraId="646724C8"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2" w:history="1">
        <w:r w:rsidRPr="00B77F7D">
          <w:rPr>
            <w:rStyle w:val="Hyperlink"/>
            <w:lang w:val="fr-FR"/>
          </w:rPr>
          <w:t>https://www.gov.uk/government/uploads</w:t>
        </w:r>
        <w:r w:rsidRPr="00B77F7D">
          <w:rPr>
            <w:rStyle w:val="Hyperlink"/>
            <w:lang w:val="fr-FR"/>
          </w:rPr>
          <w:br/>
          <w:t>/system/uploads/attachment_data/file/414388/SEND_implementation_update.pdf</w:t>
        </w:r>
      </w:hyperlink>
      <w:r w:rsidRPr="00B77F7D">
        <w:rPr>
          <w:lang w:val="fr-FR"/>
        </w:rPr>
        <w:t>.</w:t>
      </w:r>
    </w:p>
  </w:footnote>
  <w:footnote w:id="74">
    <w:p w14:paraId="63FAFFE5"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3" w:history="1">
        <w:r w:rsidRPr="00B77F7D">
          <w:rPr>
            <w:rStyle w:val="Hyperlink"/>
            <w:lang w:val="fr-FR"/>
          </w:rPr>
          <w:t>http://www.sendpathfinder.co.uk/coordinated-assessment-process</w:t>
        </w:r>
      </w:hyperlink>
      <w:r w:rsidRPr="00B77F7D">
        <w:rPr>
          <w:rStyle w:val="Hyperlink"/>
          <w:u w:val="none"/>
          <w:lang w:val="fr-FR"/>
        </w:rPr>
        <w:t>.</w:t>
      </w:r>
      <w:r w:rsidRPr="00B77F7D">
        <w:rPr>
          <w:lang w:val="fr-FR"/>
        </w:rPr>
        <w:t xml:space="preserve"> </w:t>
      </w:r>
    </w:p>
  </w:footnote>
  <w:footnote w:id="75">
    <w:p w14:paraId="2408A729" w14:textId="1C615DDF"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74" w:history="1">
        <w:r w:rsidRPr="00B77F7D">
          <w:rPr>
            <w:rStyle w:val="Hyperlink"/>
            <w:lang w:val="fr-FR"/>
          </w:rPr>
          <w:t>https://councilfordisabledchildren.org.uk/sites/default/files/field/attachemnt/EHCP%20Exemplar%20Guide%202017.pdf</w:t>
        </w:r>
      </w:hyperlink>
      <w:r w:rsidR="00556283" w:rsidRPr="00556283">
        <w:rPr>
          <w:rStyle w:val="Hyperlink"/>
          <w:u w:val="none"/>
          <w:lang w:val="fr-FR"/>
        </w:rPr>
        <w:t>.</w:t>
      </w:r>
      <w:r w:rsidRPr="00B77F7D">
        <w:rPr>
          <w:lang w:val="fr-FR"/>
        </w:rPr>
        <w:t xml:space="preserve"> </w:t>
      </w:r>
    </w:p>
  </w:footnote>
  <w:footnote w:id="76">
    <w:p w14:paraId="5EFC4289"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5" w:history="1">
        <w:r w:rsidRPr="00B77F7D">
          <w:rPr>
            <w:rStyle w:val="Hyperlink"/>
            <w:lang w:val="fr-FR"/>
          </w:rPr>
          <w:t>https://www.gov.uk/know-when-you-can-leave-school</w:t>
        </w:r>
      </w:hyperlink>
      <w:r w:rsidRPr="00B77F7D">
        <w:rPr>
          <w:lang w:val="fr-FR"/>
        </w:rPr>
        <w:t>.</w:t>
      </w:r>
    </w:p>
  </w:footnote>
  <w:footnote w:id="77">
    <w:p w14:paraId="0E917430"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6" w:history="1">
        <w:r w:rsidRPr="00B77F7D">
          <w:rPr>
            <w:rStyle w:val="Hyperlink"/>
            <w:lang w:val="fr-FR"/>
          </w:rPr>
          <w:t>http://www.councilfordisabledchildren.org.uk/youngpeoplesadvisorygroup</w:t>
        </w:r>
      </w:hyperlink>
      <w:r w:rsidRPr="00B77F7D">
        <w:rPr>
          <w:lang w:val="fr-FR"/>
        </w:rPr>
        <w:t>.</w:t>
      </w:r>
    </w:p>
  </w:footnote>
  <w:footnote w:id="78">
    <w:p w14:paraId="14C1B6BB" w14:textId="2A406235"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556283">
        <w:rPr>
          <w:lang w:val="fr-FR"/>
        </w:rPr>
        <w:tab/>
      </w:r>
      <w:hyperlink r:id="rId77" w:history="1">
        <w:r w:rsidR="00556283" w:rsidRPr="00CC3E61">
          <w:rPr>
            <w:rStyle w:val="Hyperlink"/>
            <w:lang w:val="fr-FR"/>
          </w:rPr>
          <w:t>https://www.gov.uk/education-maintenance-allowance-ema</w:t>
        </w:r>
      </w:hyperlink>
      <w:r w:rsidR="00556283">
        <w:rPr>
          <w:rStyle w:val="Hyperlink"/>
          <w:u w:val="none"/>
          <w:lang w:val="fr-FR"/>
        </w:rPr>
        <w:t>.</w:t>
      </w:r>
      <w:r w:rsidRPr="00B77F7D">
        <w:rPr>
          <w:lang w:val="fr-FR"/>
        </w:rPr>
        <w:t xml:space="preserve"> </w:t>
      </w:r>
    </w:p>
  </w:footnote>
  <w:footnote w:id="79">
    <w:p w14:paraId="3AD1CCBC"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8" w:history="1">
        <w:r w:rsidRPr="00B77F7D">
          <w:rPr>
            <w:rStyle w:val="Hyperlink"/>
            <w:lang w:val="fr-FR"/>
          </w:rPr>
          <w:t>https://www.gov.uk/government/uploads/system/</w:t>
        </w:r>
        <w:r w:rsidRPr="00B77F7D">
          <w:rPr>
            <w:rStyle w:val="Hyperlink"/>
            <w:lang w:val="fr-FR"/>
          </w:rPr>
          <w:br/>
          <w:t>uploads/attachment_data/file/180808/ema_replacement_scheme___equality_impact_assessment.pdf</w:t>
        </w:r>
      </w:hyperlink>
      <w:r w:rsidRPr="00B77F7D">
        <w:rPr>
          <w:lang w:val="fr-FR"/>
        </w:rPr>
        <w:t xml:space="preserve"> (page 12).</w:t>
      </w:r>
    </w:p>
  </w:footnote>
  <w:footnote w:id="80">
    <w:p w14:paraId="7D2316EC"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79" w:history="1">
        <w:r w:rsidRPr="00B77F7D">
          <w:rPr>
            <w:rStyle w:val="Hyperlink"/>
            <w:lang w:val="fr-FR"/>
          </w:rPr>
          <w:t>http://www.employer-toolkit.org.uk/</w:t>
        </w:r>
      </w:hyperlink>
      <w:r w:rsidRPr="00B77F7D">
        <w:rPr>
          <w:rStyle w:val="Hyperlink"/>
          <w:u w:val="none"/>
          <w:lang w:val="fr-FR"/>
        </w:rPr>
        <w:t>.</w:t>
      </w:r>
      <w:r w:rsidRPr="00B77F7D">
        <w:rPr>
          <w:lang w:val="fr-FR"/>
        </w:rPr>
        <w:t xml:space="preserve"> </w:t>
      </w:r>
    </w:p>
  </w:footnote>
  <w:footnote w:id="81">
    <w:p w14:paraId="4633527F"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0" w:history="1">
        <w:r w:rsidRPr="00B77F7D">
          <w:rPr>
            <w:rStyle w:val="Hyperlink"/>
            <w:lang w:val="fr-FR"/>
          </w:rPr>
          <w:t>http://www.disabilityrightsuk.org/news/2014/april/our-new-apprenticeships-guide</w:t>
        </w:r>
      </w:hyperlink>
      <w:r w:rsidRPr="00B77F7D">
        <w:rPr>
          <w:rStyle w:val="Hyperlink"/>
          <w:u w:val="none"/>
          <w:lang w:val="fr-FR"/>
        </w:rPr>
        <w:t>.</w:t>
      </w:r>
      <w:r w:rsidRPr="00B77F7D">
        <w:rPr>
          <w:lang w:val="fr-FR"/>
        </w:rPr>
        <w:t xml:space="preserve"> </w:t>
      </w:r>
    </w:p>
  </w:footnote>
  <w:footnote w:id="82">
    <w:p w14:paraId="39F0A83B"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1" w:history="1">
        <w:r w:rsidRPr="00B77F7D">
          <w:rPr>
            <w:rStyle w:val="Hyperlink"/>
            <w:lang w:val="fr-FR"/>
          </w:rPr>
          <w:t>http://www.ecu.ac.uk/goodpracticefund/</w:t>
        </w:r>
      </w:hyperlink>
      <w:r w:rsidRPr="00B77F7D">
        <w:rPr>
          <w:rStyle w:val="Hyperlink"/>
          <w:u w:val="none"/>
          <w:lang w:val="fr-FR"/>
        </w:rPr>
        <w:t>.</w:t>
      </w:r>
      <w:r w:rsidRPr="00B77F7D">
        <w:rPr>
          <w:lang w:val="fr-FR"/>
        </w:rPr>
        <w:t xml:space="preserve"> </w:t>
      </w:r>
    </w:p>
  </w:footnote>
  <w:footnote w:id="83">
    <w:p w14:paraId="6072ADF5" w14:textId="76D6B878"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2" w:history="1">
        <w:r w:rsidRPr="00B77F7D">
          <w:rPr>
            <w:rStyle w:val="Hyperlink"/>
            <w:lang w:val="fr-FR"/>
          </w:rPr>
          <w:t>http://www.ecu.ac.uk/goodpracticefund/funded-projects/</w:t>
        </w:r>
      </w:hyperlink>
      <w:r w:rsidRPr="00B77F7D">
        <w:rPr>
          <w:lang w:val="fr-FR"/>
        </w:rPr>
        <w:t>.</w:t>
      </w:r>
    </w:p>
  </w:footnote>
  <w:footnote w:id="84">
    <w:p w14:paraId="2A8877A2"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3" w:history="1">
        <w:r w:rsidRPr="00B77F7D">
          <w:rPr>
            <w:rStyle w:val="Hyperlink"/>
            <w:lang w:val="fr-FR"/>
          </w:rPr>
          <w:t>https://www.gov.uk/government/statistical-data-sets/fe-data-library-apprenticeships</w:t>
        </w:r>
      </w:hyperlink>
      <w:r w:rsidRPr="00B77F7D">
        <w:rPr>
          <w:rStyle w:val="Hyperlink"/>
          <w:u w:val="none"/>
          <w:lang w:val="fr-FR"/>
        </w:rPr>
        <w:t>.</w:t>
      </w:r>
      <w:r w:rsidRPr="00B77F7D">
        <w:rPr>
          <w:lang w:val="fr-FR"/>
        </w:rPr>
        <w:t xml:space="preserve"> </w:t>
      </w:r>
    </w:p>
  </w:footnote>
  <w:footnote w:id="85">
    <w:p w14:paraId="1E5BB3CD" w14:textId="59988EFB"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556283">
        <w:rPr>
          <w:lang w:val="fr-FR"/>
        </w:rPr>
        <w:tab/>
      </w:r>
      <w:hyperlink r:id="rId84" w:history="1">
        <w:r w:rsidR="00556283" w:rsidRPr="00CC3E61">
          <w:rPr>
            <w:rStyle w:val="Hyperlink"/>
            <w:lang w:val="fr-FR"/>
          </w:rPr>
          <w:t>http://www.hefce.ac.uk/sas/disabled/</w:t>
        </w:r>
      </w:hyperlink>
      <w:r w:rsidR="004359BD">
        <w:rPr>
          <w:lang w:val="fr-FR"/>
        </w:rPr>
        <w:t>.</w:t>
      </w:r>
      <w:r w:rsidRPr="00B77F7D">
        <w:rPr>
          <w:lang w:val="fr-FR"/>
        </w:rPr>
        <w:t xml:space="preserve"> </w:t>
      </w:r>
    </w:p>
  </w:footnote>
  <w:footnote w:id="86">
    <w:p w14:paraId="6A0ACD1D" w14:textId="281718B2"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556283">
        <w:rPr>
          <w:lang w:val="fr-FR"/>
        </w:rPr>
        <w:tab/>
      </w:r>
      <w:hyperlink r:id="rId85" w:history="1">
        <w:r w:rsidR="00556283" w:rsidRPr="00CC3E61">
          <w:rPr>
            <w:rStyle w:val="Hyperlink"/>
            <w:lang w:val="fr-FR"/>
          </w:rPr>
          <w:t>https://www.gov.uk/government/publications/inclusive-teaching-and-learning-in-higher-education</w:t>
        </w:r>
      </w:hyperlink>
      <w:r w:rsidR="004359BD">
        <w:rPr>
          <w:lang w:val="fr-FR"/>
        </w:rPr>
        <w:t>.</w:t>
      </w:r>
      <w:r w:rsidRPr="00B77F7D">
        <w:rPr>
          <w:lang w:val="fr-FR"/>
        </w:rPr>
        <w:t xml:space="preserve"> </w:t>
      </w:r>
    </w:p>
  </w:footnote>
  <w:footnote w:id="87">
    <w:p w14:paraId="039BF8A0" w14:textId="0D167CF6"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556283">
        <w:rPr>
          <w:lang w:val="fr-FR"/>
        </w:rPr>
        <w:tab/>
      </w:r>
      <w:hyperlink r:id="rId86" w:history="1">
        <w:r w:rsidR="00556283" w:rsidRPr="00CC3E61">
          <w:rPr>
            <w:rStyle w:val="Hyperlink"/>
            <w:lang w:val="fr-FR"/>
          </w:rPr>
          <w:t>https://www.gov.uk/disabled-students-allowances-dsas</w:t>
        </w:r>
      </w:hyperlink>
      <w:r w:rsidR="004359BD">
        <w:rPr>
          <w:lang w:val="fr-FR"/>
        </w:rPr>
        <w:t>.</w:t>
      </w:r>
      <w:r w:rsidRPr="00B77F7D">
        <w:rPr>
          <w:lang w:val="fr-FR"/>
        </w:rPr>
        <w:t xml:space="preserve"> </w:t>
      </w:r>
    </w:p>
  </w:footnote>
  <w:footnote w:id="88">
    <w:p w14:paraId="505ABFC8"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7" w:history="1">
        <w:r w:rsidRPr="00B77F7D">
          <w:rPr>
            <w:rStyle w:val="Hyperlink"/>
            <w:lang w:val="fr-FR"/>
          </w:rPr>
          <w:t>https://www.hesa.ac.uk/pis/dsa</w:t>
        </w:r>
      </w:hyperlink>
      <w:r w:rsidRPr="00B77F7D">
        <w:rPr>
          <w:lang w:val="fr-FR"/>
        </w:rPr>
        <w:t>.</w:t>
      </w:r>
    </w:p>
  </w:footnote>
  <w:footnote w:id="89">
    <w:p w14:paraId="6C5FEE5C"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8" w:history="1">
        <w:r w:rsidRPr="00B77F7D">
          <w:rPr>
            <w:rStyle w:val="Hyperlink"/>
            <w:lang w:val="fr-FR"/>
          </w:rPr>
          <w:t>https://www.gov.uk/government/speeches/higher-education-student-support-changes-to-disabled-students-allowances-dsa</w:t>
        </w:r>
      </w:hyperlink>
      <w:r w:rsidRPr="00B77F7D">
        <w:rPr>
          <w:lang w:val="fr-FR"/>
        </w:rPr>
        <w:t>.</w:t>
      </w:r>
    </w:p>
  </w:footnote>
  <w:footnote w:id="90">
    <w:p w14:paraId="37483FBD"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89" w:history="1">
        <w:r w:rsidRPr="00B77F7D">
          <w:rPr>
            <w:rStyle w:val="Hyperlink"/>
            <w:lang w:val="fr-FR"/>
          </w:rPr>
          <w:t>http://www.parliament.uk/documents/commons-vote-office/September%202014/12%20September/2-BIS-StudentSupport.pdf</w:t>
        </w:r>
      </w:hyperlink>
      <w:r w:rsidRPr="00B77F7D">
        <w:rPr>
          <w:lang w:val="fr-FR"/>
        </w:rPr>
        <w:t>.</w:t>
      </w:r>
    </w:p>
  </w:footnote>
  <w:footnote w:id="91">
    <w:p w14:paraId="69C1FEB7"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0" w:history="1">
        <w:r w:rsidRPr="00B77F7D">
          <w:rPr>
            <w:rStyle w:val="Hyperlink"/>
            <w:lang w:val="fr-FR"/>
          </w:rPr>
          <w:t>https://www.gov.uk/government/uploads/system/uploads/attachment_data/file/439947/bis-15-81-consultation-on-targeting-funding-for-disabled_students-in-higher-education-from-2016-17.pdf</w:t>
        </w:r>
      </w:hyperlink>
      <w:r w:rsidRPr="00B77F7D">
        <w:rPr>
          <w:lang w:val="fr-FR"/>
        </w:rPr>
        <w:t>.</w:t>
      </w:r>
    </w:p>
  </w:footnote>
  <w:footnote w:id="92">
    <w:p w14:paraId="1A15E7D0" w14:textId="0DB832AF"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556283">
        <w:rPr>
          <w:lang w:val="fr-FR"/>
        </w:rPr>
        <w:tab/>
      </w:r>
      <w:hyperlink r:id="rId91" w:history="1">
        <w:r w:rsidR="00556283" w:rsidRPr="00CC3E61">
          <w:rPr>
            <w:rStyle w:val="Hyperlink"/>
            <w:lang w:val="fr-FR"/>
          </w:rPr>
          <w:t>http://reach.ac.uk/disabled-student-allowance-dsas-changes-201617-a-simplified-guide/</w:t>
        </w:r>
      </w:hyperlink>
      <w:r w:rsidR="004359BD">
        <w:rPr>
          <w:lang w:val="fr-FR"/>
        </w:rPr>
        <w:t>.</w:t>
      </w:r>
      <w:r w:rsidRPr="00B77F7D">
        <w:rPr>
          <w:lang w:val="fr-FR"/>
        </w:rPr>
        <w:t xml:space="preserve"> </w:t>
      </w:r>
    </w:p>
  </w:footnote>
  <w:footnote w:id="93">
    <w:p w14:paraId="52559024"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2" w:history="1">
        <w:r w:rsidRPr="00B77F7D">
          <w:rPr>
            <w:rStyle w:val="Hyperlink"/>
            <w:lang w:val="fr-FR"/>
          </w:rPr>
          <w:t>https://www.gov.uk/government/uploads/system/uploads/attachment_data/file/392610/bis-14-1108-higher-education-disabled-students-allowances-equality-analysis-revised-16-12-2014.pdf</w:t>
        </w:r>
      </w:hyperlink>
      <w:r w:rsidRPr="00B77F7D">
        <w:rPr>
          <w:rStyle w:val="Hyperlink"/>
          <w:u w:val="none"/>
          <w:lang w:val="fr-FR"/>
        </w:rPr>
        <w:t>.</w:t>
      </w:r>
      <w:r w:rsidRPr="00B77F7D">
        <w:rPr>
          <w:lang w:val="fr-FR"/>
        </w:rPr>
        <w:t xml:space="preserve"> </w:t>
      </w:r>
    </w:p>
  </w:footnote>
  <w:footnote w:id="94">
    <w:p w14:paraId="398F55DC" w14:textId="77777777" w:rsidR="00B77F7D" w:rsidRPr="00B77F7D" w:rsidRDefault="00B77F7D" w:rsidP="00B77F7D">
      <w:pPr>
        <w:pStyle w:val="FootnoteText"/>
        <w:tabs>
          <w:tab w:val="left" w:pos="284"/>
        </w:tabs>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3" w:history="1">
        <w:r w:rsidRPr="00B77F7D">
          <w:rPr>
            <w:rStyle w:val="Hyperlink"/>
            <w:lang w:val="fr-FR"/>
          </w:rPr>
          <w:t>http://tbinternet.ohchr.org/_layouts/treatybodyexternal/</w:t>
        </w:r>
        <w:r w:rsidRPr="00B77F7D">
          <w:rPr>
            <w:rStyle w:val="Hyperlink"/>
            <w:lang w:val="fr-FR"/>
          </w:rPr>
          <w:br/>
          <w:t>Download.aspx?symbolno=E%2fC.12%2fGBR%2fQ%2f6&amp;Lang=en</w:t>
        </w:r>
      </w:hyperlink>
      <w:r w:rsidRPr="00B77F7D">
        <w:rPr>
          <w:lang w:val="fr-FR"/>
        </w:rPr>
        <w:t>.</w:t>
      </w:r>
    </w:p>
  </w:footnote>
  <w:footnote w:id="95">
    <w:p w14:paraId="66CD5BAE" w14:textId="129BE79C" w:rsidR="00B77F7D" w:rsidRPr="004359BD" w:rsidRDefault="00B77F7D" w:rsidP="00B77F7D">
      <w:pPr>
        <w:pStyle w:val="FootnoteText"/>
        <w:tabs>
          <w:tab w:val="left" w:pos="284"/>
        </w:tabs>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4" w:history="1">
        <w:r w:rsidRPr="004359BD">
          <w:rPr>
            <w:rStyle w:val="Hyperlink"/>
            <w:lang w:val="fr-FR"/>
          </w:rPr>
          <w:t>http://www.ohchr.org/Documents/HRBodies/CRPD/CRPD.C.15.R.2.Rev.1-ENG.doc</w:t>
        </w:r>
      </w:hyperlink>
      <w:r w:rsidR="004359BD">
        <w:rPr>
          <w:lang w:val="fr-FR"/>
        </w:rPr>
        <w:t>.</w:t>
      </w:r>
    </w:p>
  </w:footnote>
  <w:footnote w:id="96">
    <w:p w14:paraId="07B6694D" w14:textId="77777777" w:rsidR="00B77F7D" w:rsidRPr="00B77F7D" w:rsidRDefault="00B77F7D" w:rsidP="00B77F7D">
      <w:pPr>
        <w:pStyle w:val="FootnoteText"/>
        <w:tabs>
          <w:tab w:val="left" w:pos="284"/>
        </w:tabs>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5" w:history="1">
        <w:r w:rsidRPr="00B77F7D">
          <w:rPr>
            <w:rStyle w:val="Hyperlink"/>
            <w:lang w:val="fr-FR"/>
          </w:rPr>
          <w:t>http://www.bbc.co.uk/news/business-33429390</w:t>
        </w:r>
      </w:hyperlink>
      <w:r w:rsidRPr="00B77F7D">
        <w:rPr>
          <w:lang w:val="fr-FR"/>
        </w:rPr>
        <w:t>.</w:t>
      </w:r>
    </w:p>
  </w:footnote>
  <w:footnote w:id="97">
    <w:p w14:paraId="4AC1F4F7" w14:textId="004B89B2" w:rsidR="00B77F7D" w:rsidRPr="004359B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4359BD">
        <w:rPr>
          <w:lang w:val="fr-FR"/>
        </w:rPr>
        <w:tab/>
      </w:r>
      <w:hyperlink r:id="rId96" w:history="1">
        <w:r w:rsidRPr="004359BD">
          <w:rPr>
            <w:rStyle w:val="Hyperlink"/>
            <w:lang w:val="fr-FR"/>
          </w:rPr>
          <w:t>https://www.gov.uk/benefit-cap/benefit-cap-amounts</w:t>
        </w:r>
      </w:hyperlink>
      <w:r w:rsidR="004359BD">
        <w:rPr>
          <w:lang w:val="fr-FR"/>
        </w:rPr>
        <w:t>.</w:t>
      </w:r>
    </w:p>
  </w:footnote>
  <w:footnote w:id="98">
    <w:p w14:paraId="2B1BC74E"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7" w:history="1">
        <w:r w:rsidRPr="00B77F7D">
          <w:rPr>
            <w:rStyle w:val="Hyperlink"/>
            <w:lang w:val="fr-FR"/>
          </w:rPr>
          <w:t>http://www.bailii.org/ew/cases/EWHC/Admin/2013/897.html</w:t>
        </w:r>
      </w:hyperlink>
      <w:r w:rsidRPr="00B77F7D">
        <w:rPr>
          <w:rStyle w:val="Hyperlink"/>
          <w:u w:val="none"/>
          <w:lang w:val="fr-FR"/>
        </w:rPr>
        <w:t>.</w:t>
      </w:r>
      <w:r w:rsidRPr="00B77F7D">
        <w:rPr>
          <w:lang w:val="fr-FR"/>
        </w:rPr>
        <w:t xml:space="preserve"> </w:t>
      </w:r>
    </w:p>
  </w:footnote>
  <w:footnote w:id="99">
    <w:p w14:paraId="63B9C61D"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98" w:history="1">
        <w:r w:rsidRPr="00B77F7D">
          <w:rPr>
            <w:rStyle w:val="Hyperlink"/>
            <w:lang w:val="fr-FR"/>
          </w:rPr>
          <w:t>https://www.gov.uk/government/uploads/system/uploads/attachment_data/file/329948/rr882-evaluation-of-removal-of-the-spare-room-subsidy.pdf</w:t>
        </w:r>
      </w:hyperlink>
      <w:r w:rsidRPr="00B77F7D">
        <w:rPr>
          <w:rStyle w:val="Hyperlink"/>
          <w:u w:val="none"/>
          <w:lang w:val="fr-FR"/>
        </w:rPr>
        <w:t>.</w:t>
      </w:r>
      <w:r w:rsidRPr="00B77F7D">
        <w:rPr>
          <w:lang w:val="fr-FR"/>
        </w:rPr>
        <w:t xml:space="preserve"> </w:t>
      </w:r>
    </w:p>
  </w:footnote>
  <w:footnote w:id="100">
    <w:p w14:paraId="4E114115" w14:textId="507CDC65"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99" w:history="1">
        <w:r w:rsidRPr="00B77F7D">
          <w:rPr>
            <w:rStyle w:val="Hyperlink"/>
            <w:lang w:val="fr-FR"/>
          </w:rPr>
          <w:t>https://www.gov.uk/government/publications/universal-credit-if-you-have-a-disability-or-health-condition-quick-guide/universal-credit-if-you-have-a-disability-or-health-condition</w:t>
        </w:r>
      </w:hyperlink>
      <w:r w:rsidR="004359BD">
        <w:rPr>
          <w:rStyle w:val="Hyperlink"/>
          <w:u w:val="none"/>
          <w:lang w:val="fr-FR"/>
        </w:rPr>
        <w:t>.</w:t>
      </w:r>
      <w:r w:rsidRPr="00B77F7D">
        <w:rPr>
          <w:lang w:val="fr-FR"/>
        </w:rPr>
        <w:t xml:space="preserve"> </w:t>
      </w:r>
    </w:p>
  </w:footnote>
  <w:footnote w:id="101">
    <w:p w14:paraId="35D5CFF1" w14:textId="5AB36DC3"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0" w:history="1">
        <w:r w:rsidRPr="00B77F7D">
          <w:rPr>
            <w:rStyle w:val="Hyperlink"/>
            <w:lang w:val="fr-FR"/>
          </w:rPr>
          <w:t>https://www.theguardian.com/society/2017/oct/31/universal-credit-pushing-disabled-people-into-poverty</w:t>
        </w:r>
      </w:hyperlink>
      <w:r w:rsidR="004359BD">
        <w:rPr>
          <w:rStyle w:val="Hyperlink"/>
          <w:u w:val="none"/>
          <w:lang w:val="fr-FR"/>
        </w:rPr>
        <w:t>.</w:t>
      </w:r>
      <w:r w:rsidRPr="00B77F7D">
        <w:rPr>
          <w:lang w:val="fr-FR"/>
        </w:rPr>
        <w:t xml:space="preserve"> </w:t>
      </w:r>
    </w:p>
  </w:footnote>
  <w:footnote w:id="102">
    <w:p w14:paraId="68F22B03" w14:textId="5EBD80B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1" w:history="1">
        <w:r w:rsidRPr="00B77F7D">
          <w:rPr>
            <w:rStyle w:val="Hyperlink"/>
            <w:lang w:val="fr-FR"/>
          </w:rPr>
          <w:t>https://www.gov.uk/government/uploads/system/uploads/attachment_data/file/508193/HMT_Budget_2016_Web_Accessible.pdf</w:t>
        </w:r>
      </w:hyperlink>
      <w:r w:rsidRPr="00B77F7D">
        <w:rPr>
          <w:lang w:val="fr-FR"/>
        </w:rPr>
        <w:t>.</w:t>
      </w:r>
    </w:p>
  </w:footnote>
  <w:footnote w:id="103">
    <w:p w14:paraId="58774A5E" w14:textId="0C44E52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2" w:history="1">
        <w:r w:rsidRPr="00B77F7D">
          <w:rPr>
            <w:rStyle w:val="Hyperlink"/>
            <w:lang w:val="fr-FR"/>
          </w:rPr>
          <w:t>http://researchbriefings.parliament.uk/ResearchBriefing/Summary/CDP-2017-0110</w:t>
        </w:r>
      </w:hyperlink>
      <w:r w:rsidR="004359BD">
        <w:rPr>
          <w:rStyle w:val="Hyperlink"/>
          <w:u w:val="none"/>
          <w:lang w:val="fr-FR"/>
        </w:rPr>
        <w:t>.</w:t>
      </w:r>
      <w:r w:rsidRPr="00B77F7D">
        <w:rPr>
          <w:lang w:val="fr-FR"/>
        </w:rPr>
        <w:t xml:space="preserve"> </w:t>
      </w:r>
    </w:p>
  </w:footnote>
  <w:footnote w:id="104">
    <w:p w14:paraId="78BEBE5F" w14:textId="06D87C44"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3" w:history="1">
        <w:r w:rsidRPr="00B77F7D">
          <w:rPr>
            <w:rStyle w:val="Hyperlink"/>
            <w:lang w:val="fr-FR"/>
          </w:rPr>
          <w:t>https://www.gov.uk/help-with-childcare-costs/tax-free-childcare</w:t>
        </w:r>
      </w:hyperlink>
      <w:r w:rsidR="004359BD" w:rsidRPr="004359BD">
        <w:rPr>
          <w:rStyle w:val="Hyperlink"/>
          <w:u w:val="none"/>
          <w:lang w:val="fr-FR"/>
        </w:rPr>
        <w:t>.</w:t>
      </w:r>
      <w:r w:rsidRPr="00B77F7D">
        <w:rPr>
          <w:lang w:val="fr-FR"/>
        </w:rPr>
        <w:t xml:space="preserve"> </w:t>
      </w:r>
    </w:p>
  </w:footnote>
  <w:footnote w:id="105">
    <w:p w14:paraId="061C7922" w14:textId="27DD42DB"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4" w:history="1">
        <w:r w:rsidRPr="00B77F7D">
          <w:rPr>
            <w:rStyle w:val="Hyperlink"/>
            <w:lang w:val="fr-FR"/>
          </w:rPr>
          <w:t>https://www.equalityhumanrights.com/en/inquiries-and-investigations/inquiry-housing-disabled-people</w:t>
        </w:r>
      </w:hyperlink>
      <w:r w:rsidR="004359BD" w:rsidRPr="004359BD">
        <w:rPr>
          <w:rStyle w:val="Hyperlink"/>
          <w:u w:val="none"/>
          <w:lang w:val="fr-FR"/>
        </w:rPr>
        <w:t>.</w:t>
      </w:r>
      <w:r w:rsidRPr="00B77F7D">
        <w:rPr>
          <w:lang w:val="fr-FR"/>
        </w:rPr>
        <w:t xml:space="preserve"> </w:t>
      </w:r>
    </w:p>
  </w:footnote>
  <w:footnote w:id="106">
    <w:p w14:paraId="2D69022F"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05" w:history="1">
        <w:r w:rsidRPr="00B77F7D">
          <w:rPr>
            <w:rStyle w:val="Hyperlink"/>
            <w:lang w:val="fr-FR"/>
          </w:rPr>
          <w:t>http://www.jrf.org.uk/sites/files/jrf/MPSE-2014-FULL.pdf</w:t>
        </w:r>
      </w:hyperlink>
      <w:r w:rsidRPr="00B77F7D">
        <w:rPr>
          <w:lang w:val="fr-FR"/>
        </w:rPr>
        <w:t xml:space="preserve"> (page 78).</w:t>
      </w:r>
    </w:p>
  </w:footnote>
  <w:footnote w:id="107">
    <w:p w14:paraId="223ED379" w14:textId="77AB95FB"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06" w:history="1">
        <w:r w:rsidRPr="00B77F7D">
          <w:rPr>
            <w:rStyle w:val="Hyperlink"/>
            <w:lang w:val="fr-FR"/>
          </w:rPr>
          <w:t>http://ec.europa.eu/europe2020/pdf/csr2016/csr2016_uk_en.pdf</w:t>
        </w:r>
      </w:hyperlink>
      <w:r w:rsidRPr="00B77F7D">
        <w:rPr>
          <w:rStyle w:val="Hyperlink"/>
          <w:u w:val="none"/>
          <w:lang w:val="fr-FR"/>
        </w:rPr>
        <w:t>.</w:t>
      </w:r>
      <w:r w:rsidRPr="00B77F7D">
        <w:rPr>
          <w:lang w:val="fr-FR"/>
        </w:rPr>
        <w:t xml:space="preserve"> </w:t>
      </w:r>
    </w:p>
  </w:footnote>
  <w:footnote w:id="108">
    <w:p w14:paraId="0B06177E"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07" w:history="1">
        <w:r w:rsidRPr="00B77F7D">
          <w:rPr>
            <w:rStyle w:val="Hyperlink"/>
            <w:lang w:val="fr-FR"/>
          </w:rPr>
          <w:t>http://www.centreforwelfarereform.org/uploads/attachment/354/a-fair-society.pdf</w:t>
        </w:r>
      </w:hyperlink>
      <w:r w:rsidRPr="00B77F7D">
        <w:rPr>
          <w:rStyle w:val="Hyperlink"/>
          <w:u w:val="none"/>
          <w:lang w:val="fr-FR"/>
        </w:rPr>
        <w:t>.</w:t>
      </w:r>
      <w:r w:rsidRPr="00B77F7D">
        <w:rPr>
          <w:lang w:val="fr-FR"/>
        </w:rPr>
        <w:t xml:space="preserve"> </w:t>
      </w:r>
    </w:p>
  </w:footnote>
  <w:footnote w:id="109">
    <w:p w14:paraId="3D28C78E"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08" w:history="1">
        <w:r w:rsidRPr="00B77F7D">
          <w:rPr>
            <w:rStyle w:val="Hyperlink"/>
            <w:lang w:val="fr-FR"/>
          </w:rPr>
          <w:t>http://www.centreforwelfarereform.org/library/type/pdfs/dignity-and-opportunity-for-all.html</w:t>
        </w:r>
      </w:hyperlink>
      <w:r w:rsidRPr="00B77F7D">
        <w:rPr>
          <w:rStyle w:val="Hyperlink"/>
          <w:u w:val="none"/>
          <w:lang w:val="fr-FR"/>
        </w:rPr>
        <w:t>.</w:t>
      </w:r>
      <w:r w:rsidRPr="00B77F7D">
        <w:rPr>
          <w:lang w:val="fr-FR"/>
        </w:rPr>
        <w:t xml:space="preserve"> </w:t>
      </w:r>
    </w:p>
  </w:footnote>
  <w:footnote w:id="110">
    <w:p w14:paraId="23F64B4D" w14:textId="51D9DBA5"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09" w:history="1">
        <w:r w:rsidRPr="00B77F7D">
          <w:rPr>
            <w:rStyle w:val="Hyperlink"/>
            <w:lang w:val="fr-FR"/>
          </w:rPr>
          <w:t>http://tbinternet.ohchr.org/_layouts/TreatyBodyExternal/Countries.aspx?CountryCode=GBR&amp;Lang=EN</w:t>
        </w:r>
      </w:hyperlink>
      <w:r w:rsidR="004359BD" w:rsidRPr="004359BD">
        <w:rPr>
          <w:rStyle w:val="Hyperlink"/>
          <w:u w:val="none"/>
          <w:lang w:val="fr-FR"/>
        </w:rPr>
        <w:t>.</w:t>
      </w:r>
      <w:r w:rsidRPr="00B77F7D">
        <w:rPr>
          <w:lang w:val="fr-FR"/>
        </w:rPr>
        <w:t xml:space="preserve"> </w:t>
      </w:r>
    </w:p>
  </w:footnote>
  <w:footnote w:id="111">
    <w:p w14:paraId="3AB38D62" w14:textId="07458516"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hyperlink r:id="rId110" w:history="1">
        <w:r w:rsidRPr="00B77F7D">
          <w:rPr>
            <w:rStyle w:val="Hyperlink"/>
            <w:lang w:val="fr-FR"/>
          </w:rPr>
          <w:t>http://tbinternet.ohchr.org/_layouts/treatybodyexternal/Download.aspx?symbolno=CRPD%2fC%2fGBR%2fCO%2f1&amp;Lang=en</w:t>
        </w:r>
      </w:hyperlink>
      <w:r w:rsidR="004359BD" w:rsidRPr="004359BD">
        <w:rPr>
          <w:rStyle w:val="Hyperlink"/>
          <w:u w:val="none"/>
          <w:lang w:val="fr-FR"/>
        </w:rPr>
        <w:t>.</w:t>
      </w:r>
      <w:r w:rsidRPr="00B77F7D">
        <w:rPr>
          <w:lang w:val="fr-FR"/>
        </w:rPr>
        <w:t xml:space="preserve"> </w:t>
      </w:r>
    </w:p>
  </w:footnote>
  <w:footnote w:id="112">
    <w:p w14:paraId="1E899818"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1" w:history="1">
        <w:r w:rsidRPr="00B77F7D">
          <w:rPr>
            <w:rStyle w:val="Hyperlink"/>
            <w:lang w:val="fr-FR"/>
          </w:rPr>
          <w:t>https://www.gov.uk/government/publications/national-planning-policy-framework--2</w:t>
        </w:r>
      </w:hyperlink>
      <w:r w:rsidRPr="00B77F7D">
        <w:rPr>
          <w:lang w:val="fr-FR"/>
        </w:rPr>
        <w:t>.</w:t>
      </w:r>
    </w:p>
  </w:footnote>
  <w:footnote w:id="113">
    <w:p w14:paraId="1F9C8F10"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2" w:history="1">
        <w:r w:rsidRPr="00B77F7D">
          <w:rPr>
            <w:rStyle w:val="Hyperlink"/>
            <w:lang w:val="fr-FR"/>
          </w:rPr>
          <w:t>http://www.gov.scot/resource/doc/340696/0112970.pdf</w:t>
        </w:r>
      </w:hyperlink>
      <w:r w:rsidRPr="00B77F7D">
        <w:rPr>
          <w:lang w:val="fr-FR"/>
        </w:rPr>
        <w:t>.</w:t>
      </w:r>
    </w:p>
  </w:footnote>
  <w:footnote w:id="114">
    <w:p w14:paraId="54291115"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3" w:history="1">
        <w:r w:rsidRPr="00B77F7D">
          <w:rPr>
            <w:rStyle w:val="Hyperlink"/>
            <w:lang w:val="fr-FR"/>
          </w:rPr>
          <w:t>http://www.planningportal.gov.uk/buildingregulations/approveddocuments/partm/adm/admvol1</w:t>
        </w:r>
      </w:hyperlink>
      <w:r w:rsidRPr="00B77F7D">
        <w:rPr>
          <w:lang w:val="fr-FR"/>
        </w:rPr>
        <w:t>.</w:t>
      </w:r>
    </w:p>
  </w:footnote>
  <w:footnote w:id="115">
    <w:p w14:paraId="401DA7B1" w14:textId="4C19A519"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4359BD">
        <w:rPr>
          <w:lang w:val="fr-FR"/>
        </w:rPr>
        <w:tab/>
      </w:r>
      <w:hyperlink r:id="rId114" w:history="1">
        <w:r w:rsidR="004359BD" w:rsidRPr="00CC3E61">
          <w:rPr>
            <w:rStyle w:val="Hyperlink"/>
            <w:lang w:val="fr-FR"/>
          </w:rPr>
          <w:t>https://www.instituteforapprenticeships.org/</w:t>
        </w:r>
      </w:hyperlink>
      <w:r w:rsidR="004359BD">
        <w:rPr>
          <w:lang w:val="fr-FR"/>
        </w:rPr>
        <w:t>.</w:t>
      </w:r>
      <w:r w:rsidRPr="00B77F7D">
        <w:rPr>
          <w:lang w:val="fr-FR"/>
        </w:rPr>
        <w:t xml:space="preserve"> </w:t>
      </w:r>
    </w:p>
  </w:footnote>
  <w:footnote w:id="116">
    <w:p w14:paraId="1D4AAA73" w14:textId="5D33034B"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5" w:history="1">
        <w:r w:rsidRPr="00B77F7D">
          <w:rPr>
            <w:rStyle w:val="Hyperlink"/>
            <w:lang w:val="fr-FR"/>
          </w:rPr>
          <w:t>https://www.gov.uk/government/publications/apprenticeship-standards-funding-rules</w:t>
        </w:r>
      </w:hyperlink>
      <w:r w:rsidRPr="00B77F7D">
        <w:rPr>
          <w:lang w:val="fr-FR"/>
        </w:rPr>
        <w:t>.</w:t>
      </w:r>
    </w:p>
  </w:footnote>
  <w:footnote w:id="117">
    <w:p w14:paraId="5479B23A" w14:textId="4E12F1D2"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t xml:space="preserve">e.g. </w:t>
      </w:r>
      <w:hyperlink r:id="rId116" w:history="1">
        <w:r w:rsidRPr="00B77F7D">
          <w:rPr>
            <w:rStyle w:val="Hyperlink"/>
            <w:lang w:val="fr-FR"/>
          </w:rPr>
          <w:t>https://www.gov.uk/government/uploads/system/uploads/attachment_data/file/527346/STANDARD_Construction_Design_and_Build_Technician.pdf</w:t>
        </w:r>
      </w:hyperlink>
      <w:r w:rsidRPr="00B77F7D">
        <w:rPr>
          <w:lang w:val="fr-FR"/>
        </w:rPr>
        <w:t>.</w:t>
      </w:r>
    </w:p>
  </w:footnote>
  <w:footnote w:id="118">
    <w:p w14:paraId="5BB73A9A" w14:textId="3211901F"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7" w:history="1">
        <w:r w:rsidRPr="00B77F7D">
          <w:rPr>
            <w:rStyle w:val="Hyperlink"/>
            <w:lang w:val="fr-FR"/>
          </w:rPr>
          <w:t>https://www.gov.uk/government/publications/apprenticeship-levy-how-it-will-work/apprenticeship-levy-how-it-will-work</w:t>
        </w:r>
      </w:hyperlink>
      <w:r w:rsidRPr="00B77F7D">
        <w:rPr>
          <w:lang w:val="fr-FR"/>
        </w:rPr>
        <w:t>.</w:t>
      </w:r>
    </w:p>
  </w:footnote>
  <w:footnote w:id="119">
    <w:p w14:paraId="1F50167D" w14:textId="24CE3506"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004359BD">
        <w:rPr>
          <w:lang w:val="fr-FR"/>
        </w:rPr>
        <w:tab/>
      </w:r>
      <w:hyperlink r:id="rId118" w:history="1">
        <w:r w:rsidR="004359BD" w:rsidRPr="00CC3E61">
          <w:rPr>
            <w:rStyle w:val="Hyperlink"/>
            <w:lang w:val="fr-FR"/>
          </w:rPr>
          <w:t>https://www.gov.uk/government/publications/apprenticeships-proposals-for-funding-from-may-2017</w:t>
        </w:r>
      </w:hyperlink>
      <w:r w:rsidRPr="00B77F7D">
        <w:rPr>
          <w:lang w:val="fr-FR"/>
        </w:rPr>
        <w:t>.</w:t>
      </w:r>
    </w:p>
  </w:footnote>
  <w:footnote w:id="120">
    <w:p w14:paraId="2EEA8EBD" w14:textId="7DBCAC33"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19" w:history="1">
        <w:r w:rsidR="004359BD" w:rsidRPr="00CC3E61">
          <w:rPr>
            <w:rStyle w:val="Hyperlink"/>
            <w:lang w:val="fr-FR"/>
          </w:rPr>
          <w:t>https://ec.europa.eu/info/sites/info/files/2017-european-semester-country-report-united-kingdom-en.pdf</w:t>
        </w:r>
      </w:hyperlink>
      <w:r w:rsidR="004359BD">
        <w:rPr>
          <w:lang w:val="fr-FR"/>
        </w:rPr>
        <w:t>.</w:t>
      </w:r>
      <w:r w:rsidRPr="00B77F7D">
        <w:rPr>
          <w:lang w:val="fr-FR"/>
        </w:rPr>
        <w:t xml:space="preserve"> </w:t>
      </w:r>
    </w:p>
  </w:footnote>
  <w:footnote w:id="121">
    <w:p w14:paraId="087FBB78" w14:textId="2E94F082"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0" w:history="1">
        <w:r w:rsidRPr="00B77F7D">
          <w:rPr>
            <w:rStyle w:val="Hyperlink"/>
          </w:rPr>
          <w:t>http://www.berr.gov.uk/files/file34769.doc</w:t>
        </w:r>
      </w:hyperlink>
      <w:r w:rsidRPr="00B77F7D">
        <w:t xml:space="preserve"> (see points 45 and 47).</w:t>
      </w:r>
    </w:p>
  </w:footnote>
  <w:footnote w:id="122">
    <w:p w14:paraId="2747A078"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1" w:history="1">
        <w:r w:rsidRPr="00B77F7D">
          <w:rPr>
            <w:rStyle w:val="Hyperlink"/>
          </w:rPr>
          <w:t>https://www.gov.uk/government/uploads/system/uploads/attachment_data/file/314974/esf-good-practice-disabled-people.pdf</w:t>
        </w:r>
      </w:hyperlink>
      <w:r w:rsidRPr="00B77F7D">
        <w:rPr>
          <w:rStyle w:val="Hyperlink"/>
          <w:u w:val="none"/>
        </w:rPr>
        <w:t>.</w:t>
      </w:r>
      <w:r w:rsidRPr="00B77F7D">
        <w:t xml:space="preserve"> </w:t>
      </w:r>
    </w:p>
  </w:footnote>
  <w:footnote w:id="123">
    <w:p w14:paraId="18716872"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2" w:history="1">
        <w:r w:rsidRPr="00B77F7D">
          <w:rPr>
            <w:rStyle w:val="Hyperlink"/>
          </w:rPr>
          <w:t>https://www.gov.uk/government/uploads/system/uploads/attachment_data/file/307562/bis-14-773-eu-structural-funds-uk-allocations-2014-to-2020-equality-impact.pdf</w:t>
        </w:r>
      </w:hyperlink>
      <w:r w:rsidRPr="00B77F7D">
        <w:t xml:space="preserve"> (see page 6).</w:t>
      </w:r>
    </w:p>
  </w:footnote>
  <w:footnote w:id="124">
    <w:p w14:paraId="51C09C34"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3" w:history="1">
        <w:r w:rsidRPr="00B77F7D">
          <w:rPr>
            <w:rStyle w:val="Hyperlink"/>
          </w:rPr>
          <w:t>https://www.gov.uk/government/uploads/system/uploads/attachment_data/file/306999/bis-14-756-equality-impact-assessment-UK-partnership-agreement.pdf</w:t>
        </w:r>
      </w:hyperlink>
      <w:r w:rsidRPr="00B77F7D">
        <w:t xml:space="preserve"> (see page 15).</w:t>
      </w:r>
    </w:p>
  </w:footnote>
  <w:footnote w:id="125">
    <w:p w14:paraId="653558F8" w14:textId="77777777" w:rsidR="00B77F7D" w:rsidRPr="00B77F7D" w:rsidRDefault="00B77F7D" w:rsidP="00B77F7D">
      <w:pPr>
        <w:pStyle w:val="FootnoteText"/>
        <w:spacing w:after="0"/>
        <w:ind w:left="284" w:hanging="284"/>
      </w:pPr>
      <w:r w:rsidRPr="00B77F7D">
        <w:rPr>
          <w:rStyle w:val="FootnoteReference"/>
        </w:rPr>
        <w:footnoteRef/>
      </w:r>
      <w:r w:rsidRPr="00B77F7D">
        <w:t xml:space="preserve"> </w:t>
      </w:r>
      <w:r w:rsidRPr="00B77F7D">
        <w:tab/>
      </w:r>
      <w:hyperlink r:id="rId124" w:history="1">
        <w:r w:rsidRPr="00B77F7D">
          <w:rPr>
            <w:rStyle w:val="Hyperlink"/>
          </w:rPr>
          <w:t>http://wales.gov.uk/docs/det/consultation/130708consultationanalysisen.pdf</w:t>
        </w:r>
      </w:hyperlink>
      <w:r w:rsidRPr="00B77F7D">
        <w:t>.</w:t>
      </w:r>
    </w:p>
  </w:footnote>
  <w:footnote w:id="126">
    <w:p w14:paraId="4AA31961" w14:textId="77777777" w:rsidR="00B77F7D" w:rsidRPr="00B77F7D" w:rsidRDefault="00B77F7D" w:rsidP="00B77F7D">
      <w:pPr>
        <w:pStyle w:val="FootnoteText"/>
        <w:spacing w:after="0"/>
        <w:ind w:left="284" w:hanging="284"/>
        <w:rPr>
          <w:lang w:val="fr-FR"/>
        </w:rPr>
      </w:pPr>
      <w:r w:rsidRPr="00B77F7D">
        <w:rPr>
          <w:rStyle w:val="FootnoteReference"/>
        </w:rPr>
        <w:footnoteRef/>
      </w:r>
      <w:r w:rsidRPr="00B77F7D">
        <w:rPr>
          <w:lang w:val="fr-FR"/>
        </w:rPr>
        <w:t xml:space="preserve"> </w:t>
      </w:r>
      <w:r w:rsidRPr="00B77F7D">
        <w:rPr>
          <w:lang w:val="fr-FR"/>
        </w:rPr>
        <w:tab/>
      </w:r>
      <w:hyperlink r:id="rId125" w:history="1">
        <w:r w:rsidRPr="00B77F7D">
          <w:rPr>
            <w:rStyle w:val="Hyperlink"/>
            <w:lang w:val="fr-FR"/>
          </w:rPr>
          <w:t>http://www.scotland.gov.uk/Resource/0044/00449625.pdf</w:t>
        </w:r>
      </w:hyperlink>
      <w:r w:rsidRPr="00B77F7D">
        <w:rPr>
          <w:lang w:val="fr-FR"/>
        </w:rPr>
        <w:t xml:space="preserve"> (page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D60" w14:textId="1B8FB386" w:rsidR="00B77F7D" w:rsidRPr="0016304F" w:rsidRDefault="0016304F" w:rsidP="0016304F">
    <w:pPr>
      <w:pStyle w:val="Header"/>
    </w:pPr>
    <w:r w:rsidRPr="008E2765">
      <w:rPr>
        <w:noProof/>
        <w:lang w:eastAsia="en-GB"/>
      </w:rPr>
      <mc:AlternateContent>
        <mc:Choice Requires="wps">
          <w:drawing>
            <wp:anchor distT="0" distB="0" distL="114300" distR="114300" simplePos="0" relativeHeight="251659264" behindDoc="0" locked="0" layoutInCell="1" allowOverlap="1" wp14:anchorId="72E6CF14" wp14:editId="14EC87BF">
              <wp:simplePos x="0" y="0"/>
              <wp:positionH relativeFrom="column">
                <wp:posOffset>29817</wp:posOffset>
              </wp:positionH>
              <wp:positionV relativeFrom="paragraph">
                <wp:posOffset>208087</wp:posOffset>
              </wp:positionV>
              <wp:extent cx="5723792" cy="390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792" cy="390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BA791D" w14:textId="77777777" w:rsidR="0016304F" w:rsidRDefault="0016304F" w:rsidP="0016304F">
                          <w:pPr>
                            <w:jc w:val="center"/>
                            <w:rPr>
                              <w:sz w:val="16"/>
                              <w:lang w:eastAsia="fr-FR"/>
                            </w:rPr>
                          </w:pPr>
                          <w:r>
                            <w:rPr>
                              <w:sz w:val="16"/>
                              <w:lang w:eastAsia="fr-FR"/>
                            </w:rPr>
                            <w:t>European Semester 2017/2018</w:t>
                          </w:r>
                          <w:r w:rsidRPr="00F46384">
                            <w:rPr>
                              <w:sz w:val="16"/>
                              <w:lang w:eastAsia="fr-FR"/>
                            </w:rPr>
                            <w:t xml:space="preserve"> country fiche on disability</w:t>
                          </w:r>
                        </w:p>
                        <w:p w14:paraId="04C52E59" w14:textId="77777777" w:rsidR="0016304F" w:rsidRPr="00ED6A68" w:rsidRDefault="0016304F" w:rsidP="0016304F">
                          <w:pPr>
                            <w:jc w:val="center"/>
                            <w:rPr>
                              <w:sz w:val="16"/>
                              <w:szCs w:val="16"/>
                            </w:rPr>
                          </w:pPr>
                          <w:r>
                            <w:rPr>
                              <w:sz w:val="16"/>
                              <w:szCs w:val="16"/>
                            </w:rPr>
                            <w:pict w14:anchorId="5746F88F">
                              <v:rect id="_x0000_i1025"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CF14" id="_x0000_t202" coordsize="21600,21600" o:spt="202" path="m,l,21600r21600,l21600,xe">
              <v:stroke joinstyle="miter"/>
              <v:path gradientshapeok="t" o:connecttype="rect"/>
            </v:shapetype>
            <v:shape id="Text Box 21" o:spid="_x0000_s1026" type="#_x0000_t202" style="position:absolute;margin-left:2.35pt;margin-top:16.4pt;width:450.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" filled="f" stroked="f">
              <v:textbox>
                <w:txbxContent>
                  <w:p w14:paraId="58BA791D" w14:textId="77777777" w:rsidR="0016304F" w:rsidRDefault="0016304F" w:rsidP="0016304F">
                    <w:pPr>
                      <w:jc w:val="center"/>
                      <w:rPr>
                        <w:sz w:val="16"/>
                        <w:lang w:eastAsia="fr-FR"/>
                      </w:rPr>
                    </w:pPr>
                    <w:r>
                      <w:rPr>
                        <w:sz w:val="16"/>
                        <w:lang w:eastAsia="fr-FR"/>
                      </w:rPr>
                      <w:t>European Semester 2017/2018</w:t>
                    </w:r>
                    <w:r w:rsidRPr="00F46384">
                      <w:rPr>
                        <w:sz w:val="16"/>
                        <w:lang w:eastAsia="fr-FR"/>
                      </w:rPr>
                      <w:t xml:space="preserve"> country fiche on disability</w:t>
                    </w:r>
                  </w:p>
                  <w:p w14:paraId="04C52E59" w14:textId="77777777" w:rsidR="0016304F" w:rsidRPr="00ED6A68" w:rsidRDefault="0016304F" w:rsidP="0016304F">
                    <w:pPr>
                      <w:jc w:val="center"/>
                      <w:rPr>
                        <w:sz w:val="16"/>
                        <w:szCs w:val="16"/>
                      </w:rPr>
                    </w:pPr>
                    <w:r>
                      <w:rPr>
                        <w:sz w:val="16"/>
                        <w:szCs w:val="16"/>
                      </w:rPr>
                      <w:pict w14:anchorId="5746F88F">
                        <v:rect id="_x0000_i1025" style="width:0;height:1.5pt" o:hralign="center" o:hrstd="t" o:hr="t" fillcolor="#a0a0a0" stroked="f"/>
                      </w:pic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C7A0F"/>
    <w:multiLevelType w:val="hybridMultilevel"/>
    <w:tmpl w:val="B6D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56EEC"/>
    <w:multiLevelType w:val="hybridMultilevel"/>
    <w:tmpl w:val="6CC086B6"/>
    <w:lvl w:ilvl="0" w:tplc="E984129A">
      <w:start w:val="7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5B22C4"/>
    <w:multiLevelType w:val="hybridMultilevel"/>
    <w:tmpl w:val="87B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CB66F3"/>
    <w:multiLevelType w:val="hybridMultilevel"/>
    <w:tmpl w:val="AD783ECA"/>
    <w:lvl w:ilvl="0" w:tplc="E984129A">
      <w:start w:val="7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C31D3"/>
    <w:multiLevelType w:val="multilevel"/>
    <w:tmpl w:val="DBF25E20"/>
    <w:lvl w:ilvl="0">
      <w:start w:val="1"/>
      <w:numFmt w:val="decimal"/>
      <w:pStyle w:val="Heading1"/>
      <w:lvlText w:val="%1"/>
      <w:lvlJc w:val="left"/>
      <w:pPr>
        <w:ind w:left="432" w:hanging="432"/>
      </w:pPr>
    </w:lvl>
    <w:lvl w:ilvl="1">
      <w:start w:val="1"/>
      <w:numFmt w:val="decimal"/>
      <w:pStyle w:val="Heading2"/>
      <w:lvlText w:val="%1.%2"/>
      <w:lvlJc w:val="left"/>
      <w:pPr>
        <w:ind w:left="142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756CC"/>
    <w:multiLevelType w:val="hybridMultilevel"/>
    <w:tmpl w:val="E32E16E8"/>
    <w:lvl w:ilvl="0" w:tplc="67C8D1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F3DD8"/>
    <w:multiLevelType w:val="hybridMultilevel"/>
    <w:tmpl w:val="6ECC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37269A"/>
    <w:multiLevelType w:val="hybridMultilevel"/>
    <w:tmpl w:val="E56E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1A4619"/>
    <w:multiLevelType w:val="multilevel"/>
    <w:tmpl w:val="A61C1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5E6FF3"/>
    <w:multiLevelType w:val="hybridMultilevel"/>
    <w:tmpl w:val="06D6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F7720D"/>
    <w:multiLevelType w:val="hybridMultilevel"/>
    <w:tmpl w:val="78642CBE"/>
    <w:lvl w:ilvl="0" w:tplc="E984129A">
      <w:start w:val="7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3C99"/>
    <w:multiLevelType w:val="hybridMultilevel"/>
    <w:tmpl w:val="006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D38C5"/>
    <w:multiLevelType w:val="hybridMultilevel"/>
    <w:tmpl w:val="2F202AEC"/>
    <w:lvl w:ilvl="0" w:tplc="16F658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84389"/>
    <w:multiLevelType w:val="hybridMultilevel"/>
    <w:tmpl w:val="F8A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E0B94"/>
    <w:multiLevelType w:val="multilevel"/>
    <w:tmpl w:val="12E42466"/>
    <w:numStyleLink w:val="Style1"/>
  </w:abstractNum>
  <w:abstractNum w:abstractNumId="31" w15:restartNumberingAfterBreak="0">
    <w:nsid w:val="70BB15DB"/>
    <w:multiLevelType w:val="hybridMultilevel"/>
    <w:tmpl w:val="5A0C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2"/>
  </w:num>
  <w:num w:numId="13">
    <w:abstractNumId w:val="27"/>
  </w:num>
  <w:num w:numId="14">
    <w:abstractNumId w:val="33"/>
  </w:num>
  <w:num w:numId="15">
    <w:abstractNumId w:val="13"/>
  </w:num>
  <w:num w:numId="16">
    <w:abstractNumId w:val="16"/>
  </w:num>
  <w:num w:numId="17">
    <w:abstractNumId w:val="21"/>
  </w:num>
  <w:num w:numId="18">
    <w:abstractNumId w:val="18"/>
  </w:num>
  <w:num w:numId="19">
    <w:abstractNumId w:val="24"/>
  </w:num>
  <w:num w:numId="20">
    <w:abstractNumId w:val="22"/>
  </w:num>
  <w:num w:numId="21">
    <w:abstractNumId w:val="17"/>
  </w:num>
  <w:num w:numId="22">
    <w:abstractNumId w:val="28"/>
  </w:num>
  <w:num w:numId="23">
    <w:abstractNumId w:val="15"/>
  </w:num>
  <w:num w:numId="24">
    <w:abstractNumId w:val="26"/>
  </w:num>
  <w:num w:numId="25">
    <w:abstractNumId w:val="10"/>
  </w:num>
  <w:num w:numId="26">
    <w:abstractNumId w:val="20"/>
  </w:num>
  <w:num w:numId="27">
    <w:abstractNumId w:val="23"/>
  </w:num>
  <w:num w:numId="28">
    <w:abstractNumId w:val="31"/>
  </w:num>
  <w:num w:numId="29">
    <w:abstractNumId w:val="29"/>
  </w:num>
  <w:num w:numId="30">
    <w:abstractNumId w:val="12"/>
  </w:num>
  <w:num w:numId="31">
    <w:abstractNumId w:val="19"/>
  </w:num>
  <w:num w:numId="32">
    <w:abstractNumId w:val="14"/>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1"/>
    <w:rsid w:val="00005D27"/>
    <w:rsid w:val="0001374E"/>
    <w:rsid w:val="00014F94"/>
    <w:rsid w:val="000159A6"/>
    <w:rsid w:val="00017D56"/>
    <w:rsid w:val="00021E8C"/>
    <w:rsid w:val="000267C3"/>
    <w:rsid w:val="00027CC8"/>
    <w:rsid w:val="000336BD"/>
    <w:rsid w:val="00033E2E"/>
    <w:rsid w:val="00035600"/>
    <w:rsid w:val="000356B3"/>
    <w:rsid w:val="00040141"/>
    <w:rsid w:val="000414CC"/>
    <w:rsid w:val="0004167C"/>
    <w:rsid w:val="00041932"/>
    <w:rsid w:val="00044E73"/>
    <w:rsid w:val="00045058"/>
    <w:rsid w:val="00045FA5"/>
    <w:rsid w:val="00046E44"/>
    <w:rsid w:val="0004718D"/>
    <w:rsid w:val="0005214E"/>
    <w:rsid w:val="000538B6"/>
    <w:rsid w:val="0005498D"/>
    <w:rsid w:val="00056285"/>
    <w:rsid w:val="00062CD5"/>
    <w:rsid w:val="00063E99"/>
    <w:rsid w:val="00066A6E"/>
    <w:rsid w:val="00066FC7"/>
    <w:rsid w:val="00071DD2"/>
    <w:rsid w:val="00072D84"/>
    <w:rsid w:val="00082E6D"/>
    <w:rsid w:val="00084AB1"/>
    <w:rsid w:val="00084B69"/>
    <w:rsid w:val="000859B7"/>
    <w:rsid w:val="00085F0A"/>
    <w:rsid w:val="00090024"/>
    <w:rsid w:val="0009046A"/>
    <w:rsid w:val="0009140E"/>
    <w:rsid w:val="0009265B"/>
    <w:rsid w:val="00092B8F"/>
    <w:rsid w:val="0009424A"/>
    <w:rsid w:val="00094EF9"/>
    <w:rsid w:val="00095C09"/>
    <w:rsid w:val="0009703C"/>
    <w:rsid w:val="000A1224"/>
    <w:rsid w:val="000A174C"/>
    <w:rsid w:val="000A2913"/>
    <w:rsid w:val="000A395C"/>
    <w:rsid w:val="000B37E3"/>
    <w:rsid w:val="000B4AB7"/>
    <w:rsid w:val="000B6164"/>
    <w:rsid w:val="000C0513"/>
    <w:rsid w:val="000C4D4A"/>
    <w:rsid w:val="000D16C9"/>
    <w:rsid w:val="000D320A"/>
    <w:rsid w:val="000D58DB"/>
    <w:rsid w:val="000E016C"/>
    <w:rsid w:val="000E1E81"/>
    <w:rsid w:val="000E2774"/>
    <w:rsid w:val="000E38B1"/>
    <w:rsid w:val="000E59E4"/>
    <w:rsid w:val="000E7982"/>
    <w:rsid w:val="000F4F4F"/>
    <w:rsid w:val="000F657B"/>
    <w:rsid w:val="00100CCC"/>
    <w:rsid w:val="00102FD8"/>
    <w:rsid w:val="0010423F"/>
    <w:rsid w:val="0011074B"/>
    <w:rsid w:val="00111BDD"/>
    <w:rsid w:val="00117547"/>
    <w:rsid w:val="00125005"/>
    <w:rsid w:val="0013277C"/>
    <w:rsid w:val="001335A3"/>
    <w:rsid w:val="001341CA"/>
    <w:rsid w:val="00136B61"/>
    <w:rsid w:val="00140B43"/>
    <w:rsid w:val="00140EE5"/>
    <w:rsid w:val="00141174"/>
    <w:rsid w:val="00143D33"/>
    <w:rsid w:val="001445E1"/>
    <w:rsid w:val="00146B02"/>
    <w:rsid w:val="001472A5"/>
    <w:rsid w:val="00152FE0"/>
    <w:rsid w:val="0015345A"/>
    <w:rsid w:val="001536FD"/>
    <w:rsid w:val="00156CA2"/>
    <w:rsid w:val="00157229"/>
    <w:rsid w:val="001601AB"/>
    <w:rsid w:val="001602BF"/>
    <w:rsid w:val="00162ECF"/>
    <w:rsid w:val="0016304F"/>
    <w:rsid w:val="0016613C"/>
    <w:rsid w:val="00166D66"/>
    <w:rsid w:val="00167572"/>
    <w:rsid w:val="00167C77"/>
    <w:rsid w:val="00172F55"/>
    <w:rsid w:val="00174183"/>
    <w:rsid w:val="00176311"/>
    <w:rsid w:val="00176A08"/>
    <w:rsid w:val="001828CD"/>
    <w:rsid w:val="00183BDA"/>
    <w:rsid w:val="00184494"/>
    <w:rsid w:val="00185AA8"/>
    <w:rsid w:val="001A1474"/>
    <w:rsid w:val="001A783D"/>
    <w:rsid w:val="001B13C3"/>
    <w:rsid w:val="001B197B"/>
    <w:rsid w:val="001B20FF"/>
    <w:rsid w:val="001C017D"/>
    <w:rsid w:val="001C2F45"/>
    <w:rsid w:val="001C386F"/>
    <w:rsid w:val="001C6708"/>
    <w:rsid w:val="001D2AA2"/>
    <w:rsid w:val="001D3DBF"/>
    <w:rsid w:val="001E1C6F"/>
    <w:rsid w:val="001E4166"/>
    <w:rsid w:val="001E5C6B"/>
    <w:rsid w:val="001F38C9"/>
    <w:rsid w:val="001F694D"/>
    <w:rsid w:val="001F6CDE"/>
    <w:rsid w:val="00200C0D"/>
    <w:rsid w:val="002045EB"/>
    <w:rsid w:val="00205467"/>
    <w:rsid w:val="00206BED"/>
    <w:rsid w:val="002226FA"/>
    <w:rsid w:val="00222716"/>
    <w:rsid w:val="0022619B"/>
    <w:rsid w:val="0022780E"/>
    <w:rsid w:val="0023345E"/>
    <w:rsid w:val="00234E56"/>
    <w:rsid w:val="00242BA9"/>
    <w:rsid w:val="00243C02"/>
    <w:rsid w:val="00245159"/>
    <w:rsid w:val="002464D9"/>
    <w:rsid w:val="0024672E"/>
    <w:rsid w:val="00246A17"/>
    <w:rsid w:val="00247433"/>
    <w:rsid w:val="0025155D"/>
    <w:rsid w:val="00252BD2"/>
    <w:rsid w:val="0025351C"/>
    <w:rsid w:val="00254165"/>
    <w:rsid w:val="00257FFE"/>
    <w:rsid w:val="00264A95"/>
    <w:rsid w:val="002662FD"/>
    <w:rsid w:val="0027278E"/>
    <w:rsid w:val="00273123"/>
    <w:rsid w:val="00273ED7"/>
    <w:rsid w:val="002746E5"/>
    <w:rsid w:val="00276529"/>
    <w:rsid w:val="002775D1"/>
    <w:rsid w:val="00286B5C"/>
    <w:rsid w:val="00287BC4"/>
    <w:rsid w:val="00293967"/>
    <w:rsid w:val="00293CD4"/>
    <w:rsid w:val="00293F47"/>
    <w:rsid w:val="0029539F"/>
    <w:rsid w:val="00295FEC"/>
    <w:rsid w:val="00297B69"/>
    <w:rsid w:val="002A0FAC"/>
    <w:rsid w:val="002A237B"/>
    <w:rsid w:val="002A6F1E"/>
    <w:rsid w:val="002A7F69"/>
    <w:rsid w:val="002B12F0"/>
    <w:rsid w:val="002C19AD"/>
    <w:rsid w:val="002C2233"/>
    <w:rsid w:val="002C5B9B"/>
    <w:rsid w:val="002C705F"/>
    <w:rsid w:val="002D2609"/>
    <w:rsid w:val="002E14FB"/>
    <w:rsid w:val="002E269E"/>
    <w:rsid w:val="002E26C2"/>
    <w:rsid w:val="002E420B"/>
    <w:rsid w:val="002F2674"/>
    <w:rsid w:val="002F2C31"/>
    <w:rsid w:val="00300862"/>
    <w:rsid w:val="00302832"/>
    <w:rsid w:val="00325134"/>
    <w:rsid w:val="00330467"/>
    <w:rsid w:val="00332C2C"/>
    <w:rsid w:val="003362FF"/>
    <w:rsid w:val="0033741E"/>
    <w:rsid w:val="00337F03"/>
    <w:rsid w:val="003400F1"/>
    <w:rsid w:val="00340D91"/>
    <w:rsid w:val="00343AA0"/>
    <w:rsid w:val="00344ECE"/>
    <w:rsid w:val="00346FC5"/>
    <w:rsid w:val="00347CF1"/>
    <w:rsid w:val="00350404"/>
    <w:rsid w:val="00352AFA"/>
    <w:rsid w:val="00353C05"/>
    <w:rsid w:val="00356356"/>
    <w:rsid w:val="00361BC9"/>
    <w:rsid w:val="00365193"/>
    <w:rsid w:val="00366F06"/>
    <w:rsid w:val="00367337"/>
    <w:rsid w:val="003673A5"/>
    <w:rsid w:val="00373FCD"/>
    <w:rsid w:val="003750B5"/>
    <w:rsid w:val="00375373"/>
    <w:rsid w:val="003756E6"/>
    <w:rsid w:val="00380195"/>
    <w:rsid w:val="003813CF"/>
    <w:rsid w:val="003837D3"/>
    <w:rsid w:val="00385532"/>
    <w:rsid w:val="00386DD8"/>
    <w:rsid w:val="00391548"/>
    <w:rsid w:val="00392897"/>
    <w:rsid w:val="00394745"/>
    <w:rsid w:val="003A1406"/>
    <w:rsid w:val="003A26EF"/>
    <w:rsid w:val="003A61C7"/>
    <w:rsid w:val="003B037B"/>
    <w:rsid w:val="003B1107"/>
    <w:rsid w:val="003B422F"/>
    <w:rsid w:val="003B6506"/>
    <w:rsid w:val="003C2610"/>
    <w:rsid w:val="003C4556"/>
    <w:rsid w:val="003C5254"/>
    <w:rsid w:val="003D03C4"/>
    <w:rsid w:val="003D356C"/>
    <w:rsid w:val="003D3B50"/>
    <w:rsid w:val="003D59D5"/>
    <w:rsid w:val="003D757A"/>
    <w:rsid w:val="003D7AB4"/>
    <w:rsid w:val="003E1FD5"/>
    <w:rsid w:val="003E4E89"/>
    <w:rsid w:val="003E7EC1"/>
    <w:rsid w:val="003F4379"/>
    <w:rsid w:val="003F6727"/>
    <w:rsid w:val="00401B83"/>
    <w:rsid w:val="004022FB"/>
    <w:rsid w:val="004044FF"/>
    <w:rsid w:val="00404D1C"/>
    <w:rsid w:val="00405156"/>
    <w:rsid w:val="0040723F"/>
    <w:rsid w:val="00412247"/>
    <w:rsid w:val="00415058"/>
    <w:rsid w:val="004159F5"/>
    <w:rsid w:val="00416060"/>
    <w:rsid w:val="00416AA0"/>
    <w:rsid w:val="00420DEA"/>
    <w:rsid w:val="00421E28"/>
    <w:rsid w:val="00423314"/>
    <w:rsid w:val="00424768"/>
    <w:rsid w:val="0042508B"/>
    <w:rsid w:val="004259F8"/>
    <w:rsid w:val="00425B78"/>
    <w:rsid w:val="004268DD"/>
    <w:rsid w:val="004276E2"/>
    <w:rsid w:val="004340A6"/>
    <w:rsid w:val="00435944"/>
    <w:rsid w:val="004359BD"/>
    <w:rsid w:val="00435ACF"/>
    <w:rsid w:val="0044100E"/>
    <w:rsid w:val="00441B0F"/>
    <w:rsid w:val="004515AA"/>
    <w:rsid w:val="004516D5"/>
    <w:rsid w:val="00451EC6"/>
    <w:rsid w:val="00455977"/>
    <w:rsid w:val="00463F06"/>
    <w:rsid w:val="00471843"/>
    <w:rsid w:val="00477679"/>
    <w:rsid w:val="00480DCE"/>
    <w:rsid w:val="00481FFA"/>
    <w:rsid w:val="00482C28"/>
    <w:rsid w:val="00483695"/>
    <w:rsid w:val="0048413E"/>
    <w:rsid w:val="00484B6C"/>
    <w:rsid w:val="00492E94"/>
    <w:rsid w:val="00493B7E"/>
    <w:rsid w:val="004941BB"/>
    <w:rsid w:val="00496013"/>
    <w:rsid w:val="00496B54"/>
    <w:rsid w:val="004A6770"/>
    <w:rsid w:val="004C0B03"/>
    <w:rsid w:val="004C3017"/>
    <w:rsid w:val="004C65B6"/>
    <w:rsid w:val="004C7992"/>
    <w:rsid w:val="004D01C6"/>
    <w:rsid w:val="004E5CCD"/>
    <w:rsid w:val="004F0ABE"/>
    <w:rsid w:val="004F2290"/>
    <w:rsid w:val="004F281A"/>
    <w:rsid w:val="004F42B7"/>
    <w:rsid w:val="004F5C94"/>
    <w:rsid w:val="00501094"/>
    <w:rsid w:val="00503F97"/>
    <w:rsid w:val="00510F62"/>
    <w:rsid w:val="005112F5"/>
    <w:rsid w:val="0051167C"/>
    <w:rsid w:val="00512B4E"/>
    <w:rsid w:val="00512FB4"/>
    <w:rsid w:val="005146F3"/>
    <w:rsid w:val="00514A56"/>
    <w:rsid w:val="005154EA"/>
    <w:rsid w:val="00523FF1"/>
    <w:rsid w:val="00526839"/>
    <w:rsid w:val="00527EA4"/>
    <w:rsid w:val="00534847"/>
    <w:rsid w:val="00534975"/>
    <w:rsid w:val="0054331D"/>
    <w:rsid w:val="00550605"/>
    <w:rsid w:val="00556283"/>
    <w:rsid w:val="0056052E"/>
    <w:rsid w:val="0056154D"/>
    <w:rsid w:val="00561619"/>
    <w:rsid w:val="00561FF5"/>
    <w:rsid w:val="0056264E"/>
    <w:rsid w:val="00564A91"/>
    <w:rsid w:val="005734E6"/>
    <w:rsid w:val="00574C72"/>
    <w:rsid w:val="00575675"/>
    <w:rsid w:val="0057731B"/>
    <w:rsid w:val="005805CA"/>
    <w:rsid w:val="005831C6"/>
    <w:rsid w:val="00587AC5"/>
    <w:rsid w:val="00587D25"/>
    <w:rsid w:val="005924E9"/>
    <w:rsid w:val="0059415A"/>
    <w:rsid w:val="00596BB2"/>
    <w:rsid w:val="00597A6F"/>
    <w:rsid w:val="005A10B4"/>
    <w:rsid w:val="005A26DD"/>
    <w:rsid w:val="005A3FC7"/>
    <w:rsid w:val="005A53C5"/>
    <w:rsid w:val="005B0D14"/>
    <w:rsid w:val="005B7BEC"/>
    <w:rsid w:val="005C115F"/>
    <w:rsid w:val="005C4A44"/>
    <w:rsid w:val="005C65DC"/>
    <w:rsid w:val="005C75D8"/>
    <w:rsid w:val="005D2E05"/>
    <w:rsid w:val="005D3379"/>
    <w:rsid w:val="005D3ECF"/>
    <w:rsid w:val="005E1159"/>
    <w:rsid w:val="005E13E0"/>
    <w:rsid w:val="005E1C80"/>
    <w:rsid w:val="005E4C81"/>
    <w:rsid w:val="005E5CC3"/>
    <w:rsid w:val="005E68E1"/>
    <w:rsid w:val="005F099D"/>
    <w:rsid w:val="005F289E"/>
    <w:rsid w:val="005F4A51"/>
    <w:rsid w:val="005F5E34"/>
    <w:rsid w:val="00600892"/>
    <w:rsid w:val="00600AFE"/>
    <w:rsid w:val="00620231"/>
    <w:rsid w:val="00623BA9"/>
    <w:rsid w:val="006422C8"/>
    <w:rsid w:val="0064269E"/>
    <w:rsid w:val="00643FC9"/>
    <w:rsid w:val="006447A1"/>
    <w:rsid w:val="0064797F"/>
    <w:rsid w:val="006503F2"/>
    <w:rsid w:val="0065380E"/>
    <w:rsid w:val="006613E6"/>
    <w:rsid w:val="0066278F"/>
    <w:rsid w:val="00664EFF"/>
    <w:rsid w:val="00664F81"/>
    <w:rsid w:val="00666CB9"/>
    <w:rsid w:val="00672B41"/>
    <w:rsid w:val="00673E72"/>
    <w:rsid w:val="00674769"/>
    <w:rsid w:val="00680D45"/>
    <w:rsid w:val="006818A0"/>
    <w:rsid w:val="006850A8"/>
    <w:rsid w:val="0069112E"/>
    <w:rsid w:val="00692101"/>
    <w:rsid w:val="0069263C"/>
    <w:rsid w:val="00692984"/>
    <w:rsid w:val="00694F9D"/>
    <w:rsid w:val="006959E7"/>
    <w:rsid w:val="0069790A"/>
    <w:rsid w:val="006A04AD"/>
    <w:rsid w:val="006A1792"/>
    <w:rsid w:val="006A36E8"/>
    <w:rsid w:val="006A6F40"/>
    <w:rsid w:val="006A7583"/>
    <w:rsid w:val="006A76F7"/>
    <w:rsid w:val="006A7C67"/>
    <w:rsid w:val="006B0C5F"/>
    <w:rsid w:val="006B1CE6"/>
    <w:rsid w:val="006B37ED"/>
    <w:rsid w:val="006B403C"/>
    <w:rsid w:val="006B4742"/>
    <w:rsid w:val="006B5110"/>
    <w:rsid w:val="006B59CB"/>
    <w:rsid w:val="006B7206"/>
    <w:rsid w:val="006C1FBA"/>
    <w:rsid w:val="006C27EB"/>
    <w:rsid w:val="006C2CDE"/>
    <w:rsid w:val="006C4539"/>
    <w:rsid w:val="006D0E0C"/>
    <w:rsid w:val="006D2956"/>
    <w:rsid w:val="006D5FD1"/>
    <w:rsid w:val="006E64BE"/>
    <w:rsid w:val="006F09A3"/>
    <w:rsid w:val="006F0EC3"/>
    <w:rsid w:val="006F163E"/>
    <w:rsid w:val="006F33A3"/>
    <w:rsid w:val="006F365D"/>
    <w:rsid w:val="0070018F"/>
    <w:rsid w:val="007008D3"/>
    <w:rsid w:val="007038A9"/>
    <w:rsid w:val="0070390E"/>
    <w:rsid w:val="00704982"/>
    <w:rsid w:val="00705AD4"/>
    <w:rsid w:val="00722DE1"/>
    <w:rsid w:val="00733EF5"/>
    <w:rsid w:val="007360E6"/>
    <w:rsid w:val="00740D3D"/>
    <w:rsid w:val="00742AEB"/>
    <w:rsid w:val="00753DB1"/>
    <w:rsid w:val="00754C3B"/>
    <w:rsid w:val="00755123"/>
    <w:rsid w:val="00755831"/>
    <w:rsid w:val="00755A21"/>
    <w:rsid w:val="00757E74"/>
    <w:rsid w:val="00766A33"/>
    <w:rsid w:val="00766E22"/>
    <w:rsid w:val="007709C9"/>
    <w:rsid w:val="0077438C"/>
    <w:rsid w:val="00775497"/>
    <w:rsid w:val="00775A36"/>
    <w:rsid w:val="0077606A"/>
    <w:rsid w:val="00777783"/>
    <w:rsid w:val="007804E3"/>
    <w:rsid w:val="00780579"/>
    <w:rsid w:val="007812AB"/>
    <w:rsid w:val="00782321"/>
    <w:rsid w:val="007833A3"/>
    <w:rsid w:val="00784539"/>
    <w:rsid w:val="00784B17"/>
    <w:rsid w:val="007859CB"/>
    <w:rsid w:val="007919EC"/>
    <w:rsid w:val="00797180"/>
    <w:rsid w:val="007A039F"/>
    <w:rsid w:val="007A21C6"/>
    <w:rsid w:val="007A3C51"/>
    <w:rsid w:val="007A5C8D"/>
    <w:rsid w:val="007A6A53"/>
    <w:rsid w:val="007A6B3D"/>
    <w:rsid w:val="007A7648"/>
    <w:rsid w:val="007B15FB"/>
    <w:rsid w:val="007C21C6"/>
    <w:rsid w:val="007D0371"/>
    <w:rsid w:val="007D25B8"/>
    <w:rsid w:val="007D321E"/>
    <w:rsid w:val="007D61D7"/>
    <w:rsid w:val="007D6A67"/>
    <w:rsid w:val="007D6F19"/>
    <w:rsid w:val="007E200D"/>
    <w:rsid w:val="007E7184"/>
    <w:rsid w:val="007F2664"/>
    <w:rsid w:val="007F63FF"/>
    <w:rsid w:val="007F7808"/>
    <w:rsid w:val="008028B4"/>
    <w:rsid w:val="00802D60"/>
    <w:rsid w:val="00803478"/>
    <w:rsid w:val="00803568"/>
    <w:rsid w:val="00803621"/>
    <w:rsid w:val="00803B83"/>
    <w:rsid w:val="00804278"/>
    <w:rsid w:val="0080640B"/>
    <w:rsid w:val="00806998"/>
    <w:rsid w:val="00807566"/>
    <w:rsid w:val="00817AB7"/>
    <w:rsid w:val="0082288F"/>
    <w:rsid w:val="008274CB"/>
    <w:rsid w:val="00831141"/>
    <w:rsid w:val="008341F2"/>
    <w:rsid w:val="00834272"/>
    <w:rsid w:val="008345FA"/>
    <w:rsid w:val="008364CD"/>
    <w:rsid w:val="00837BCB"/>
    <w:rsid w:val="00837ED6"/>
    <w:rsid w:val="008403D5"/>
    <w:rsid w:val="0084606D"/>
    <w:rsid w:val="00846480"/>
    <w:rsid w:val="00847ABA"/>
    <w:rsid w:val="00847F31"/>
    <w:rsid w:val="00856ED7"/>
    <w:rsid w:val="00860083"/>
    <w:rsid w:val="00862395"/>
    <w:rsid w:val="00863DB6"/>
    <w:rsid w:val="0087162A"/>
    <w:rsid w:val="00873B4A"/>
    <w:rsid w:val="00873D7B"/>
    <w:rsid w:val="00880119"/>
    <w:rsid w:val="00882C11"/>
    <w:rsid w:val="00883A5D"/>
    <w:rsid w:val="008858F3"/>
    <w:rsid w:val="00886E7C"/>
    <w:rsid w:val="0089097D"/>
    <w:rsid w:val="00890E90"/>
    <w:rsid w:val="008A270F"/>
    <w:rsid w:val="008A5AB7"/>
    <w:rsid w:val="008C466F"/>
    <w:rsid w:val="008C4935"/>
    <w:rsid w:val="008C5D1E"/>
    <w:rsid w:val="008D2120"/>
    <w:rsid w:val="008D2A5F"/>
    <w:rsid w:val="008D7AB1"/>
    <w:rsid w:val="008E2367"/>
    <w:rsid w:val="008E2880"/>
    <w:rsid w:val="008F17BD"/>
    <w:rsid w:val="008F43BC"/>
    <w:rsid w:val="008F5648"/>
    <w:rsid w:val="008F6A97"/>
    <w:rsid w:val="009020CC"/>
    <w:rsid w:val="009025F7"/>
    <w:rsid w:val="009026C9"/>
    <w:rsid w:val="00903D3C"/>
    <w:rsid w:val="009063EE"/>
    <w:rsid w:val="0090711E"/>
    <w:rsid w:val="0091059B"/>
    <w:rsid w:val="0091514B"/>
    <w:rsid w:val="0091583E"/>
    <w:rsid w:val="00915D0A"/>
    <w:rsid w:val="00915E6B"/>
    <w:rsid w:val="00923360"/>
    <w:rsid w:val="0092436E"/>
    <w:rsid w:val="009279CA"/>
    <w:rsid w:val="00930117"/>
    <w:rsid w:val="00932AC8"/>
    <w:rsid w:val="00933A80"/>
    <w:rsid w:val="0093468E"/>
    <w:rsid w:val="00936ECB"/>
    <w:rsid w:val="00940E6A"/>
    <w:rsid w:val="009417F6"/>
    <w:rsid w:val="009468D8"/>
    <w:rsid w:val="0095080E"/>
    <w:rsid w:val="00952109"/>
    <w:rsid w:val="009546CE"/>
    <w:rsid w:val="00954863"/>
    <w:rsid w:val="00955830"/>
    <w:rsid w:val="00957742"/>
    <w:rsid w:val="00957E41"/>
    <w:rsid w:val="00957F11"/>
    <w:rsid w:val="00964E17"/>
    <w:rsid w:val="00965469"/>
    <w:rsid w:val="00965766"/>
    <w:rsid w:val="009718E4"/>
    <w:rsid w:val="009729AE"/>
    <w:rsid w:val="00974DE9"/>
    <w:rsid w:val="009853D0"/>
    <w:rsid w:val="0098674F"/>
    <w:rsid w:val="00987B23"/>
    <w:rsid w:val="009912E9"/>
    <w:rsid w:val="00991E23"/>
    <w:rsid w:val="00995463"/>
    <w:rsid w:val="009971BB"/>
    <w:rsid w:val="00997206"/>
    <w:rsid w:val="009979C7"/>
    <w:rsid w:val="009A1754"/>
    <w:rsid w:val="009B335F"/>
    <w:rsid w:val="009B57DB"/>
    <w:rsid w:val="009B67C5"/>
    <w:rsid w:val="009B7116"/>
    <w:rsid w:val="009C3591"/>
    <w:rsid w:val="009C5305"/>
    <w:rsid w:val="009C539B"/>
    <w:rsid w:val="009D0C2F"/>
    <w:rsid w:val="009D3E8B"/>
    <w:rsid w:val="009D7561"/>
    <w:rsid w:val="009E30BC"/>
    <w:rsid w:val="009E4D16"/>
    <w:rsid w:val="009E7BA7"/>
    <w:rsid w:val="009F1C55"/>
    <w:rsid w:val="00A01CD2"/>
    <w:rsid w:val="00A063AB"/>
    <w:rsid w:val="00A119C6"/>
    <w:rsid w:val="00A14F67"/>
    <w:rsid w:val="00A15819"/>
    <w:rsid w:val="00A1631D"/>
    <w:rsid w:val="00A23CE7"/>
    <w:rsid w:val="00A26046"/>
    <w:rsid w:val="00A27E6D"/>
    <w:rsid w:val="00A3147E"/>
    <w:rsid w:val="00A31725"/>
    <w:rsid w:val="00A33475"/>
    <w:rsid w:val="00A35A55"/>
    <w:rsid w:val="00A36B30"/>
    <w:rsid w:val="00A36CF5"/>
    <w:rsid w:val="00A37A00"/>
    <w:rsid w:val="00A37A4E"/>
    <w:rsid w:val="00A408AF"/>
    <w:rsid w:val="00A417E6"/>
    <w:rsid w:val="00A506E4"/>
    <w:rsid w:val="00A50CE3"/>
    <w:rsid w:val="00A52882"/>
    <w:rsid w:val="00A55D57"/>
    <w:rsid w:val="00A628D4"/>
    <w:rsid w:val="00A63703"/>
    <w:rsid w:val="00A654C0"/>
    <w:rsid w:val="00A67A8B"/>
    <w:rsid w:val="00A70A7E"/>
    <w:rsid w:val="00A71D65"/>
    <w:rsid w:val="00A73C76"/>
    <w:rsid w:val="00A73DF3"/>
    <w:rsid w:val="00A76F0D"/>
    <w:rsid w:val="00A81C09"/>
    <w:rsid w:val="00A82BB2"/>
    <w:rsid w:val="00A838D6"/>
    <w:rsid w:val="00A845EC"/>
    <w:rsid w:val="00A84B48"/>
    <w:rsid w:val="00A86439"/>
    <w:rsid w:val="00A90E8F"/>
    <w:rsid w:val="00A92183"/>
    <w:rsid w:val="00A943E8"/>
    <w:rsid w:val="00AA5979"/>
    <w:rsid w:val="00AA6745"/>
    <w:rsid w:val="00AA6775"/>
    <w:rsid w:val="00AB07A2"/>
    <w:rsid w:val="00AB0D4E"/>
    <w:rsid w:val="00AB169D"/>
    <w:rsid w:val="00AB1994"/>
    <w:rsid w:val="00AB19D8"/>
    <w:rsid w:val="00AB385B"/>
    <w:rsid w:val="00AB449B"/>
    <w:rsid w:val="00AB469B"/>
    <w:rsid w:val="00AB6D22"/>
    <w:rsid w:val="00AC1131"/>
    <w:rsid w:val="00AC1553"/>
    <w:rsid w:val="00AC2E3A"/>
    <w:rsid w:val="00AC3289"/>
    <w:rsid w:val="00AC43F2"/>
    <w:rsid w:val="00AC4EA1"/>
    <w:rsid w:val="00AD1B4C"/>
    <w:rsid w:val="00AD3173"/>
    <w:rsid w:val="00AD5658"/>
    <w:rsid w:val="00AD61F2"/>
    <w:rsid w:val="00AD784C"/>
    <w:rsid w:val="00AE1EC2"/>
    <w:rsid w:val="00AE2920"/>
    <w:rsid w:val="00AE4F44"/>
    <w:rsid w:val="00AF323E"/>
    <w:rsid w:val="00AF3F3B"/>
    <w:rsid w:val="00B00D21"/>
    <w:rsid w:val="00B01540"/>
    <w:rsid w:val="00B02D37"/>
    <w:rsid w:val="00B05CB0"/>
    <w:rsid w:val="00B07E89"/>
    <w:rsid w:val="00B12575"/>
    <w:rsid w:val="00B12ADE"/>
    <w:rsid w:val="00B16077"/>
    <w:rsid w:val="00B17774"/>
    <w:rsid w:val="00B20A6B"/>
    <w:rsid w:val="00B21855"/>
    <w:rsid w:val="00B23E4E"/>
    <w:rsid w:val="00B2465C"/>
    <w:rsid w:val="00B24B1B"/>
    <w:rsid w:val="00B270CB"/>
    <w:rsid w:val="00B272D0"/>
    <w:rsid w:val="00B33400"/>
    <w:rsid w:val="00B35585"/>
    <w:rsid w:val="00B3772F"/>
    <w:rsid w:val="00B4168E"/>
    <w:rsid w:val="00B429ED"/>
    <w:rsid w:val="00B42A03"/>
    <w:rsid w:val="00B4698A"/>
    <w:rsid w:val="00B46FD5"/>
    <w:rsid w:val="00B53339"/>
    <w:rsid w:val="00B574B1"/>
    <w:rsid w:val="00B66A2F"/>
    <w:rsid w:val="00B71239"/>
    <w:rsid w:val="00B72FE2"/>
    <w:rsid w:val="00B73014"/>
    <w:rsid w:val="00B73992"/>
    <w:rsid w:val="00B747AC"/>
    <w:rsid w:val="00B7564E"/>
    <w:rsid w:val="00B75F6D"/>
    <w:rsid w:val="00B776E4"/>
    <w:rsid w:val="00B77F7D"/>
    <w:rsid w:val="00B77FAF"/>
    <w:rsid w:val="00B8265A"/>
    <w:rsid w:val="00B8756F"/>
    <w:rsid w:val="00B90135"/>
    <w:rsid w:val="00B90D45"/>
    <w:rsid w:val="00B912FC"/>
    <w:rsid w:val="00B927F6"/>
    <w:rsid w:val="00B94A21"/>
    <w:rsid w:val="00B962BF"/>
    <w:rsid w:val="00B97581"/>
    <w:rsid w:val="00BA0543"/>
    <w:rsid w:val="00BA1E0C"/>
    <w:rsid w:val="00BA26A1"/>
    <w:rsid w:val="00BA29B8"/>
    <w:rsid w:val="00BA7D9F"/>
    <w:rsid w:val="00BB037E"/>
    <w:rsid w:val="00BB4347"/>
    <w:rsid w:val="00BB55FA"/>
    <w:rsid w:val="00BB60B6"/>
    <w:rsid w:val="00BB63C9"/>
    <w:rsid w:val="00BB6BE4"/>
    <w:rsid w:val="00BC2070"/>
    <w:rsid w:val="00BC4AEC"/>
    <w:rsid w:val="00BC54C9"/>
    <w:rsid w:val="00BC5855"/>
    <w:rsid w:val="00BD035A"/>
    <w:rsid w:val="00BD0DBE"/>
    <w:rsid w:val="00BD1FB9"/>
    <w:rsid w:val="00BD225A"/>
    <w:rsid w:val="00BD5249"/>
    <w:rsid w:val="00BD586D"/>
    <w:rsid w:val="00BE0196"/>
    <w:rsid w:val="00BE0291"/>
    <w:rsid w:val="00BE2EB9"/>
    <w:rsid w:val="00BE5871"/>
    <w:rsid w:val="00BE6417"/>
    <w:rsid w:val="00BF6032"/>
    <w:rsid w:val="00BF7C01"/>
    <w:rsid w:val="00C07F4A"/>
    <w:rsid w:val="00C13B17"/>
    <w:rsid w:val="00C21840"/>
    <w:rsid w:val="00C2327A"/>
    <w:rsid w:val="00C30536"/>
    <w:rsid w:val="00C35EC2"/>
    <w:rsid w:val="00C3685D"/>
    <w:rsid w:val="00C37243"/>
    <w:rsid w:val="00C37551"/>
    <w:rsid w:val="00C37D96"/>
    <w:rsid w:val="00C43089"/>
    <w:rsid w:val="00C453C1"/>
    <w:rsid w:val="00C5304F"/>
    <w:rsid w:val="00C53101"/>
    <w:rsid w:val="00C53C60"/>
    <w:rsid w:val="00C55E91"/>
    <w:rsid w:val="00C5683E"/>
    <w:rsid w:val="00C57C03"/>
    <w:rsid w:val="00C57F97"/>
    <w:rsid w:val="00C60EE1"/>
    <w:rsid w:val="00C633CE"/>
    <w:rsid w:val="00C648C3"/>
    <w:rsid w:val="00C676C7"/>
    <w:rsid w:val="00C70866"/>
    <w:rsid w:val="00C70D59"/>
    <w:rsid w:val="00C7318C"/>
    <w:rsid w:val="00C74CFD"/>
    <w:rsid w:val="00C75AFD"/>
    <w:rsid w:val="00C8229F"/>
    <w:rsid w:val="00C83D53"/>
    <w:rsid w:val="00C87799"/>
    <w:rsid w:val="00C908C3"/>
    <w:rsid w:val="00C91744"/>
    <w:rsid w:val="00C95E76"/>
    <w:rsid w:val="00C96042"/>
    <w:rsid w:val="00CA0CDD"/>
    <w:rsid w:val="00CA19CD"/>
    <w:rsid w:val="00CA2A38"/>
    <w:rsid w:val="00CA7957"/>
    <w:rsid w:val="00CB5421"/>
    <w:rsid w:val="00CC0498"/>
    <w:rsid w:val="00CC06B6"/>
    <w:rsid w:val="00CC3706"/>
    <w:rsid w:val="00CC497A"/>
    <w:rsid w:val="00CC6322"/>
    <w:rsid w:val="00CD319F"/>
    <w:rsid w:val="00CD39B7"/>
    <w:rsid w:val="00CD3C1C"/>
    <w:rsid w:val="00CD405F"/>
    <w:rsid w:val="00CE23D3"/>
    <w:rsid w:val="00CE5537"/>
    <w:rsid w:val="00CF12F1"/>
    <w:rsid w:val="00CF17EB"/>
    <w:rsid w:val="00CF18F1"/>
    <w:rsid w:val="00CF4E68"/>
    <w:rsid w:val="00D00D33"/>
    <w:rsid w:val="00D04A95"/>
    <w:rsid w:val="00D05E2F"/>
    <w:rsid w:val="00D15AF3"/>
    <w:rsid w:val="00D16B5A"/>
    <w:rsid w:val="00D17953"/>
    <w:rsid w:val="00D22A39"/>
    <w:rsid w:val="00D240FA"/>
    <w:rsid w:val="00D26DAD"/>
    <w:rsid w:val="00D37E0C"/>
    <w:rsid w:val="00D4149C"/>
    <w:rsid w:val="00D426C9"/>
    <w:rsid w:val="00D43A47"/>
    <w:rsid w:val="00D45F4A"/>
    <w:rsid w:val="00D51B3F"/>
    <w:rsid w:val="00D53E56"/>
    <w:rsid w:val="00D5733D"/>
    <w:rsid w:val="00D60B2F"/>
    <w:rsid w:val="00D62B2D"/>
    <w:rsid w:val="00D655F9"/>
    <w:rsid w:val="00D66189"/>
    <w:rsid w:val="00D7082D"/>
    <w:rsid w:val="00D70FF0"/>
    <w:rsid w:val="00D717C8"/>
    <w:rsid w:val="00D720C1"/>
    <w:rsid w:val="00D72CA8"/>
    <w:rsid w:val="00D73030"/>
    <w:rsid w:val="00D73960"/>
    <w:rsid w:val="00D743E9"/>
    <w:rsid w:val="00D82CFA"/>
    <w:rsid w:val="00D851FB"/>
    <w:rsid w:val="00D8773B"/>
    <w:rsid w:val="00D87A57"/>
    <w:rsid w:val="00D91CEC"/>
    <w:rsid w:val="00D939BF"/>
    <w:rsid w:val="00D9404F"/>
    <w:rsid w:val="00D941BB"/>
    <w:rsid w:val="00DA1606"/>
    <w:rsid w:val="00DA3CB4"/>
    <w:rsid w:val="00DB2FB6"/>
    <w:rsid w:val="00DB76FC"/>
    <w:rsid w:val="00DC15E9"/>
    <w:rsid w:val="00DC45FF"/>
    <w:rsid w:val="00DC4B94"/>
    <w:rsid w:val="00DC521C"/>
    <w:rsid w:val="00DD0891"/>
    <w:rsid w:val="00DD2B26"/>
    <w:rsid w:val="00DD2D76"/>
    <w:rsid w:val="00DD3DA4"/>
    <w:rsid w:val="00DD569C"/>
    <w:rsid w:val="00DE5D49"/>
    <w:rsid w:val="00DE6486"/>
    <w:rsid w:val="00DE74E0"/>
    <w:rsid w:val="00DE7DF3"/>
    <w:rsid w:val="00DF1581"/>
    <w:rsid w:val="00DF1931"/>
    <w:rsid w:val="00DF257E"/>
    <w:rsid w:val="00DF5308"/>
    <w:rsid w:val="00DF67DB"/>
    <w:rsid w:val="00E006F8"/>
    <w:rsid w:val="00E00AA7"/>
    <w:rsid w:val="00E024C9"/>
    <w:rsid w:val="00E03539"/>
    <w:rsid w:val="00E057DF"/>
    <w:rsid w:val="00E100DD"/>
    <w:rsid w:val="00E1044F"/>
    <w:rsid w:val="00E162F1"/>
    <w:rsid w:val="00E16FB4"/>
    <w:rsid w:val="00E209F2"/>
    <w:rsid w:val="00E21495"/>
    <w:rsid w:val="00E22176"/>
    <w:rsid w:val="00E27074"/>
    <w:rsid w:val="00E3142F"/>
    <w:rsid w:val="00E31639"/>
    <w:rsid w:val="00E32DB9"/>
    <w:rsid w:val="00E33B35"/>
    <w:rsid w:val="00E3461A"/>
    <w:rsid w:val="00E349DD"/>
    <w:rsid w:val="00E400E5"/>
    <w:rsid w:val="00E4136F"/>
    <w:rsid w:val="00E42735"/>
    <w:rsid w:val="00E427CF"/>
    <w:rsid w:val="00E43803"/>
    <w:rsid w:val="00E472DF"/>
    <w:rsid w:val="00E51EC7"/>
    <w:rsid w:val="00E52E2C"/>
    <w:rsid w:val="00E535E2"/>
    <w:rsid w:val="00E60057"/>
    <w:rsid w:val="00E610C9"/>
    <w:rsid w:val="00E865E3"/>
    <w:rsid w:val="00E91FF7"/>
    <w:rsid w:val="00E9245F"/>
    <w:rsid w:val="00E948A2"/>
    <w:rsid w:val="00E951B1"/>
    <w:rsid w:val="00E95C33"/>
    <w:rsid w:val="00E96E3C"/>
    <w:rsid w:val="00EA166E"/>
    <w:rsid w:val="00EA2651"/>
    <w:rsid w:val="00EA2B9A"/>
    <w:rsid w:val="00EA7111"/>
    <w:rsid w:val="00EA77BD"/>
    <w:rsid w:val="00EB4744"/>
    <w:rsid w:val="00EB54C7"/>
    <w:rsid w:val="00EB66B1"/>
    <w:rsid w:val="00EC5F20"/>
    <w:rsid w:val="00EC78A9"/>
    <w:rsid w:val="00ED0437"/>
    <w:rsid w:val="00ED4CF4"/>
    <w:rsid w:val="00ED6A68"/>
    <w:rsid w:val="00ED7FAA"/>
    <w:rsid w:val="00EE6146"/>
    <w:rsid w:val="00EE61AB"/>
    <w:rsid w:val="00EE7838"/>
    <w:rsid w:val="00EF3CB6"/>
    <w:rsid w:val="00EF50C8"/>
    <w:rsid w:val="00F02691"/>
    <w:rsid w:val="00F0273B"/>
    <w:rsid w:val="00F04502"/>
    <w:rsid w:val="00F06936"/>
    <w:rsid w:val="00F06B52"/>
    <w:rsid w:val="00F12DE0"/>
    <w:rsid w:val="00F14742"/>
    <w:rsid w:val="00F17DCF"/>
    <w:rsid w:val="00F22B4E"/>
    <w:rsid w:val="00F23434"/>
    <w:rsid w:val="00F243A5"/>
    <w:rsid w:val="00F24C8F"/>
    <w:rsid w:val="00F26222"/>
    <w:rsid w:val="00F27477"/>
    <w:rsid w:val="00F33FCD"/>
    <w:rsid w:val="00F340DC"/>
    <w:rsid w:val="00F34597"/>
    <w:rsid w:val="00F367F1"/>
    <w:rsid w:val="00F379F9"/>
    <w:rsid w:val="00F419B2"/>
    <w:rsid w:val="00F424B9"/>
    <w:rsid w:val="00F44CD5"/>
    <w:rsid w:val="00F46384"/>
    <w:rsid w:val="00F56F41"/>
    <w:rsid w:val="00F57118"/>
    <w:rsid w:val="00F70F8E"/>
    <w:rsid w:val="00F71CDA"/>
    <w:rsid w:val="00F726FE"/>
    <w:rsid w:val="00F72C55"/>
    <w:rsid w:val="00F738ED"/>
    <w:rsid w:val="00F75683"/>
    <w:rsid w:val="00F775A9"/>
    <w:rsid w:val="00F77BF9"/>
    <w:rsid w:val="00F80FAD"/>
    <w:rsid w:val="00F81FA9"/>
    <w:rsid w:val="00F87F24"/>
    <w:rsid w:val="00F90497"/>
    <w:rsid w:val="00F941DA"/>
    <w:rsid w:val="00FA32A2"/>
    <w:rsid w:val="00FA5238"/>
    <w:rsid w:val="00FA5809"/>
    <w:rsid w:val="00FB5F8F"/>
    <w:rsid w:val="00FB652F"/>
    <w:rsid w:val="00FB7B71"/>
    <w:rsid w:val="00FC47F2"/>
    <w:rsid w:val="00FC5BD1"/>
    <w:rsid w:val="00FC7A80"/>
    <w:rsid w:val="00FD1B06"/>
    <w:rsid w:val="00FD4C16"/>
    <w:rsid w:val="00FD4CE7"/>
    <w:rsid w:val="00FD518A"/>
    <w:rsid w:val="00FD70A0"/>
    <w:rsid w:val="00FE0667"/>
    <w:rsid w:val="00FE1B66"/>
    <w:rsid w:val="00FE2CDF"/>
    <w:rsid w:val="00FE6E4F"/>
    <w:rsid w:val="00FE7CD3"/>
    <w:rsid w:val="00FF0B66"/>
    <w:rsid w:val="00FF5D7A"/>
    <w:rsid w:val="00FF7E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BDFBE87"/>
  <w15:docId w15:val="{D24CA063-7F64-46F3-963B-50419B1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0D"/>
    <w:pPr>
      <w:spacing w:after="120"/>
    </w:pPr>
    <w:rPr>
      <w:sz w:val="24"/>
      <w:szCs w:val="24"/>
      <w:lang w:eastAsia="en-US"/>
    </w:rPr>
  </w:style>
  <w:style w:type="paragraph" w:styleId="Heading1">
    <w:name w:val="heading 1"/>
    <w:basedOn w:val="Normal"/>
    <w:next w:val="Normal"/>
    <w:link w:val="Heading1Char"/>
    <w:autoRedefine/>
    <w:uiPriority w:val="9"/>
    <w:qFormat/>
    <w:rsid w:val="00523FF1"/>
    <w:pPr>
      <w:keepNext/>
      <w:keepLines/>
      <w:pageBreakBefore/>
      <w:numPr>
        <w:numId w:val="23"/>
      </w:numPr>
      <w:spacing w:after="0"/>
      <w:ind w:left="567" w:hanging="567"/>
      <w:outlineLvl w:val="0"/>
    </w:pPr>
    <w:rPr>
      <w:rFonts w:eastAsia="SimSun"/>
      <w:b/>
      <w:bCs/>
      <w:szCs w:val="28"/>
    </w:rPr>
  </w:style>
  <w:style w:type="paragraph" w:styleId="Heading2">
    <w:name w:val="heading 2"/>
    <w:basedOn w:val="Normal"/>
    <w:next w:val="Normal"/>
    <w:link w:val="Heading2Char"/>
    <w:autoRedefine/>
    <w:uiPriority w:val="9"/>
    <w:unhideWhenUsed/>
    <w:qFormat/>
    <w:rsid w:val="0070018F"/>
    <w:pPr>
      <w:keepNext/>
      <w:keepLines/>
      <w:numPr>
        <w:ilvl w:val="1"/>
        <w:numId w:val="23"/>
      </w:numPr>
      <w:ind w:left="567" w:hanging="567"/>
      <w:outlineLvl w:val="1"/>
    </w:pPr>
    <w:rPr>
      <w:rFonts w:eastAsia="SimSun"/>
      <w:b/>
      <w:bCs/>
      <w:szCs w:val="26"/>
    </w:rPr>
  </w:style>
  <w:style w:type="paragraph" w:styleId="Heading3">
    <w:name w:val="heading 3"/>
    <w:basedOn w:val="Normal"/>
    <w:next w:val="Normal"/>
    <w:link w:val="Heading3Char"/>
    <w:autoRedefine/>
    <w:uiPriority w:val="9"/>
    <w:unhideWhenUsed/>
    <w:qFormat/>
    <w:rsid w:val="00E9245F"/>
    <w:pPr>
      <w:keepNext/>
      <w:keepLines/>
      <w:numPr>
        <w:ilvl w:val="2"/>
        <w:numId w:val="23"/>
      </w:numPr>
      <w:spacing w:after="0"/>
      <w:outlineLvl w:val="2"/>
    </w:pPr>
    <w:rPr>
      <w:rFonts w:eastAsia="SimSun"/>
      <w:b/>
      <w:bCs/>
    </w:rPr>
  </w:style>
  <w:style w:type="paragraph" w:styleId="Heading4">
    <w:name w:val="heading 4"/>
    <w:basedOn w:val="Normal"/>
    <w:next w:val="Normal"/>
    <w:link w:val="Heading4Char"/>
    <w:autoRedefine/>
    <w:uiPriority w:val="9"/>
    <w:unhideWhenUsed/>
    <w:rsid w:val="00EB66B1"/>
    <w:pPr>
      <w:keepNext/>
      <w:keepLines/>
      <w:numPr>
        <w:ilvl w:val="3"/>
        <w:numId w:val="23"/>
      </w:numPr>
      <w:spacing w:before="240"/>
      <w:outlineLvl w:val="3"/>
    </w:pPr>
    <w:rPr>
      <w:rFonts w:eastAsia="SimSun"/>
      <w:b/>
      <w:bCs/>
      <w:iCs/>
    </w:rPr>
  </w:style>
  <w:style w:type="paragraph" w:styleId="Heading5">
    <w:name w:val="heading 5"/>
    <w:basedOn w:val="Normal"/>
    <w:next w:val="Normal"/>
    <w:link w:val="Heading5Char"/>
    <w:autoRedefine/>
    <w:uiPriority w:val="9"/>
    <w:unhideWhenUsed/>
    <w:rsid w:val="00273123"/>
    <w:pPr>
      <w:keepNext/>
      <w:keepLines/>
      <w:numPr>
        <w:ilvl w:val="4"/>
        <w:numId w:val="23"/>
      </w:numPr>
      <w:spacing w:before="240"/>
      <w:outlineLvl w:val="4"/>
    </w:pPr>
    <w:rPr>
      <w:rFonts w:eastAsia="SimSun"/>
      <w:b/>
    </w:rPr>
  </w:style>
  <w:style w:type="paragraph" w:styleId="Heading6">
    <w:name w:val="heading 6"/>
    <w:basedOn w:val="Normal"/>
    <w:next w:val="Normal"/>
    <w:link w:val="Heading6Char"/>
    <w:uiPriority w:val="9"/>
    <w:unhideWhenUsed/>
    <w:rsid w:val="006F163E"/>
    <w:pPr>
      <w:keepNext/>
      <w:keepLines/>
      <w:numPr>
        <w:ilvl w:val="5"/>
        <w:numId w:val="23"/>
      </w:numPr>
      <w:spacing w:before="240"/>
      <w:outlineLvl w:val="5"/>
    </w:pPr>
    <w:rPr>
      <w:rFonts w:eastAsia="SimSun"/>
      <w:b/>
      <w:iCs/>
    </w:rPr>
  </w:style>
  <w:style w:type="paragraph" w:styleId="Heading7">
    <w:name w:val="heading 7"/>
    <w:basedOn w:val="Normal"/>
    <w:next w:val="Normal"/>
    <w:link w:val="Heading7Char"/>
    <w:uiPriority w:val="9"/>
    <w:unhideWhenUsed/>
    <w:rsid w:val="006F163E"/>
    <w:pPr>
      <w:keepNext/>
      <w:keepLines/>
      <w:numPr>
        <w:ilvl w:val="6"/>
        <w:numId w:val="23"/>
      </w:numPr>
      <w:spacing w:before="240"/>
      <w:outlineLvl w:val="6"/>
    </w:pPr>
    <w:rPr>
      <w:rFonts w:eastAsia="SimSun" w:cs="Times New Roman"/>
      <w:b/>
      <w:i/>
      <w:iCs/>
    </w:rPr>
  </w:style>
  <w:style w:type="paragraph" w:styleId="Heading8">
    <w:name w:val="heading 8"/>
    <w:basedOn w:val="Normal"/>
    <w:next w:val="Normal"/>
    <w:link w:val="Heading8Char"/>
    <w:uiPriority w:val="9"/>
    <w:unhideWhenUsed/>
    <w:rsid w:val="006F163E"/>
    <w:pPr>
      <w:keepNext/>
      <w:keepLines/>
      <w:numPr>
        <w:ilvl w:val="7"/>
        <w:numId w:val="23"/>
      </w:numPr>
      <w:spacing w:before="240"/>
      <w:outlineLvl w:val="7"/>
    </w:pPr>
    <w:rPr>
      <w:rFonts w:eastAsia="SimSun" w:cs="Times New Roman"/>
      <w:szCs w:val="20"/>
    </w:rPr>
  </w:style>
  <w:style w:type="paragraph" w:styleId="Heading9">
    <w:name w:val="heading 9"/>
    <w:basedOn w:val="Normal"/>
    <w:next w:val="Normal"/>
    <w:link w:val="Heading9Char"/>
    <w:uiPriority w:val="9"/>
    <w:unhideWhenUsed/>
    <w:rsid w:val="006F163E"/>
    <w:pPr>
      <w:keepNext/>
      <w:keepLines/>
      <w:numPr>
        <w:ilvl w:val="8"/>
        <w:numId w:val="23"/>
      </w:numPr>
      <w:spacing w:before="240"/>
      <w:outlineLvl w:val="8"/>
    </w:pPr>
    <w:rPr>
      <w:rFonts w:eastAsia="SimSu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16304F"/>
    <w:pPr>
      <w:spacing w:after="0"/>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SimSun"/>
      <w:b/>
      <w:spacing w:val="5"/>
      <w:sz w:val="36"/>
      <w:szCs w:val="52"/>
    </w:rPr>
  </w:style>
  <w:style w:type="character" w:customStyle="1" w:styleId="TitleChar">
    <w:name w:val="Title Char"/>
    <w:link w:val="Title"/>
    <w:uiPriority w:val="10"/>
    <w:rsid w:val="005B0D14"/>
    <w:rPr>
      <w:rFonts w:eastAsia="SimSun"/>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SimSun"/>
      <w:iCs/>
      <w:spacing w:val="15"/>
      <w:sz w:val="28"/>
    </w:rPr>
  </w:style>
  <w:style w:type="character" w:customStyle="1" w:styleId="SubtitleChar">
    <w:name w:val="Subtitle Char"/>
    <w:link w:val="Subtitle"/>
    <w:uiPriority w:val="11"/>
    <w:rsid w:val="00EB66B1"/>
    <w:rPr>
      <w:rFonts w:ascii="Arial" w:eastAsia="SimSun" w:hAnsi="Arial" w:cs="Arial"/>
      <w:iCs/>
      <w:spacing w:val="15"/>
      <w:sz w:val="28"/>
      <w:szCs w:val="24"/>
    </w:rPr>
  </w:style>
  <w:style w:type="character" w:customStyle="1" w:styleId="Heading1Char">
    <w:name w:val="Heading 1 Char"/>
    <w:link w:val="Heading1"/>
    <w:uiPriority w:val="9"/>
    <w:rsid w:val="00523FF1"/>
    <w:rPr>
      <w:rFonts w:eastAsia="SimSun"/>
      <w:b/>
      <w:bCs/>
      <w:sz w:val="24"/>
      <w:szCs w:val="28"/>
      <w:lang w:eastAsia="en-US"/>
    </w:rPr>
  </w:style>
  <w:style w:type="character" w:customStyle="1" w:styleId="Heading2Char">
    <w:name w:val="Heading 2 Char"/>
    <w:link w:val="Heading2"/>
    <w:uiPriority w:val="9"/>
    <w:rsid w:val="0070018F"/>
    <w:rPr>
      <w:rFonts w:eastAsia="SimSun"/>
      <w:b/>
      <w:bCs/>
      <w:sz w:val="24"/>
      <w:szCs w:val="26"/>
      <w:lang w:eastAsia="en-US"/>
    </w:rPr>
  </w:style>
  <w:style w:type="character" w:customStyle="1" w:styleId="Heading3Char">
    <w:name w:val="Heading 3 Char"/>
    <w:link w:val="Heading3"/>
    <w:uiPriority w:val="9"/>
    <w:rsid w:val="00E9245F"/>
    <w:rPr>
      <w:rFonts w:eastAsia="SimSun"/>
      <w:b/>
      <w:bCs/>
      <w:sz w:val="24"/>
      <w:szCs w:val="24"/>
      <w:lang w:eastAsia="en-US"/>
    </w:rPr>
  </w:style>
  <w:style w:type="character" w:customStyle="1" w:styleId="Heading4Char">
    <w:name w:val="Heading 4 Char"/>
    <w:link w:val="Heading4"/>
    <w:uiPriority w:val="9"/>
    <w:rsid w:val="00EB66B1"/>
    <w:rPr>
      <w:rFonts w:eastAsia="SimSun"/>
      <w:b/>
      <w:bCs/>
      <w:iCs/>
    </w:rPr>
  </w:style>
  <w:style w:type="character" w:customStyle="1" w:styleId="Heading5Char">
    <w:name w:val="Heading 5 Char"/>
    <w:link w:val="Heading5"/>
    <w:uiPriority w:val="9"/>
    <w:rsid w:val="00273123"/>
    <w:rPr>
      <w:rFonts w:eastAsia="SimSun"/>
      <w:b/>
    </w:rPr>
  </w:style>
  <w:style w:type="character" w:customStyle="1" w:styleId="Heading6Char">
    <w:name w:val="Heading 6 Char"/>
    <w:link w:val="Heading6"/>
    <w:uiPriority w:val="9"/>
    <w:rsid w:val="006F163E"/>
    <w:rPr>
      <w:rFonts w:eastAsia="SimSun"/>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rsid w:val="00B7564E"/>
    <w:rPr>
      <w:smallCaps/>
      <w:color w:val="auto"/>
      <w:u w:val="single"/>
    </w:rPr>
  </w:style>
  <w:style w:type="character" w:customStyle="1" w:styleId="Heading7Char">
    <w:name w:val="Heading 7 Char"/>
    <w:link w:val="Heading7"/>
    <w:uiPriority w:val="9"/>
    <w:rsid w:val="006F163E"/>
    <w:rPr>
      <w:rFonts w:eastAsia="SimSun" w:cs="Times New Roman"/>
      <w:b/>
      <w:i/>
      <w:iCs/>
    </w:rPr>
  </w:style>
  <w:style w:type="character" w:customStyle="1" w:styleId="Heading8Char">
    <w:name w:val="Heading 8 Char"/>
    <w:link w:val="Heading8"/>
    <w:uiPriority w:val="9"/>
    <w:rsid w:val="006F163E"/>
    <w:rPr>
      <w:rFonts w:eastAsia="SimSun" w:cs="Times New Roman"/>
      <w:szCs w:val="20"/>
    </w:rPr>
  </w:style>
  <w:style w:type="character" w:customStyle="1" w:styleId="Heading9Char">
    <w:name w:val="Heading 9 Char"/>
    <w:link w:val="Heading9"/>
    <w:uiPriority w:val="9"/>
    <w:rsid w:val="006F163E"/>
    <w:rPr>
      <w:rFonts w:eastAsia="SimSun" w:cs="Times New Roman"/>
      <w:i/>
      <w:iCs/>
      <w:szCs w:val="20"/>
    </w:rPr>
  </w:style>
  <w:style w:type="character" w:styleId="IntenseReference">
    <w:name w:val="Intense Reference"/>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SimSu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SimSun" w:cs="Times New Roman"/>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unhideWhenUsed/>
    <w:rsid w:val="00890E90"/>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rsid w:val="00B3772F"/>
    <w:rPr>
      <w:i/>
      <w:iCs/>
    </w:rPr>
  </w:style>
  <w:style w:type="paragraph" w:styleId="EnvelopeReturn">
    <w:name w:val="envelope return"/>
    <w:basedOn w:val="Normal"/>
    <w:uiPriority w:val="99"/>
    <w:semiHidden/>
    <w:unhideWhenUsed/>
    <w:rsid w:val="00B3772F"/>
    <w:rPr>
      <w:rFonts w:eastAsia="SimSu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Times New Roman"/>
    </w:rPr>
  </w:style>
  <w:style w:type="character" w:customStyle="1" w:styleId="MessageHeaderChar">
    <w:name w:val="Message Header Char"/>
    <w:link w:val="MessageHeader"/>
    <w:uiPriority w:val="99"/>
    <w:semiHidden/>
    <w:rsid w:val="003400F1"/>
    <w:rPr>
      <w:rFonts w:eastAsia="SimSu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SimSun" w:cs="Times New Roman"/>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link w:val="BalloonText"/>
    <w:uiPriority w:val="99"/>
    <w:semiHidden/>
    <w:rsid w:val="00346FC5"/>
    <w:rPr>
      <w:rFonts w:ascii="Tahoma" w:hAnsi="Tahoma" w:cs="Tahoma"/>
      <w:sz w:val="16"/>
      <w:szCs w:val="16"/>
    </w:rPr>
  </w:style>
  <w:style w:type="character" w:styleId="CommentReference">
    <w:name w:val="annotation reference"/>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link w:val="CommentSubject"/>
    <w:uiPriority w:val="99"/>
    <w:semiHidden/>
    <w:rsid w:val="00915E6B"/>
    <w:rPr>
      <w:b/>
      <w:bCs/>
      <w:sz w:val="20"/>
      <w:szCs w:val="20"/>
    </w:rPr>
  </w:style>
  <w:style w:type="character" w:styleId="Hyperlink">
    <w:name w:val="Hyperlink"/>
    <w:uiPriority w:val="99"/>
    <w:unhideWhenUsed/>
    <w:rsid w:val="0013277C"/>
    <w:rPr>
      <w:color w:val="0000FF"/>
      <w:u w:val="single"/>
    </w:rPr>
  </w:style>
  <w:style w:type="paragraph" w:styleId="FootnoteText">
    <w:name w:val="footnote text"/>
    <w:basedOn w:val="Normal"/>
    <w:link w:val="FootnoteTextChar"/>
    <w:uiPriority w:val="99"/>
    <w:unhideWhenUsed/>
    <w:rsid w:val="0013277C"/>
    <w:rPr>
      <w:sz w:val="20"/>
      <w:szCs w:val="20"/>
    </w:rPr>
  </w:style>
  <w:style w:type="character" w:customStyle="1" w:styleId="FootnoteTextChar">
    <w:name w:val="Footnote Text Char"/>
    <w:link w:val="FootnoteText"/>
    <w:uiPriority w:val="99"/>
    <w:rsid w:val="0013277C"/>
    <w:rPr>
      <w:sz w:val="20"/>
      <w:szCs w:val="20"/>
    </w:rPr>
  </w:style>
  <w:style w:type="character" w:styleId="FootnoteReference">
    <w:name w:val="footnote reference"/>
    <w:uiPriority w:val="99"/>
    <w:semiHidden/>
    <w:unhideWhenUsed/>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uiPriority w:val="99"/>
    <w:semiHidden/>
    <w:unhideWhenUsed/>
    <w:rsid w:val="000336BD"/>
    <w:rPr>
      <w:color w:val="800080"/>
      <w:u w:val="single"/>
    </w:rPr>
  </w:style>
  <w:style w:type="character" w:styleId="EndnoteReference">
    <w:name w:val="endnote reference"/>
    <w:uiPriority w:val="99"/>
    <w:semiHidden/>
    <w:unhideWhenUsed/>
    <w:rsid w:val="00DC521C"/>
    <w:rPr>
      <w:vertAlign w:val="superscript"/>
    </w:rPr>
  </w:style>
  <w:style w:type="paragraph" w:styleId="Revision">
    <w:name w:val="Revision"/>
    <w:hidden/>
    <w:uiPriority w:val="99"/>
    <w:semiHidden/>
    <w:rsid w:val="00AA6745"/>
    <w:rPr>
      <w:sz w:val="24"/>
      <w:szCs w:val="24"/>
      <w:lang w:eastAsia="en-US"/>
    </w:rPr>
  </w:style>
  <w:style w:type="paragraph" w:styleId="TOC1">
    <w:name w:val="toc 1"/>
    <w:basedOn w:val="Normal"/>
    <w:next w:val="Normal"/>
    <w:autoRedefine/>
    <w:uiPriority w:val="39"/>
    <w:unhideWhenUsed/>
    <w:rsid w:val="00523FF1"/>
    <w:pPr>
      <w:spacing w:after="0"/>
      <w:ind w:left="567" w:hanging="567"/>
    </w:pPr>
  </w:style>
  <w:style w:type="paragraph" w:styleId="TOC2">
    <w:name w:val="toc 2"/>
    <w:basedOn w:val="Normal"/>
    <w:next w:val="Normal"/>
    <w:autoRedefine/>
    <w:uiPriority w:val="39"/>
    <w:unhideWhenUsed/>
    <w:rsid w:val="00523FF1"/>
    <w:pPr>
      <w:spacing w:after="0"/>
      <w:ind w:left="1134" w:hanging="567"/>
    </w:pPr>
  </w:style>
  <w:style w:type="paragraph" w:styleId="TOC3">
    <w:name w:val="toc 3"/>
    <w:basedOn w:val="Normal"/>
    <w:next w:val="Normal"/>
    <w:autoRedefine/>
    <w:uiPriority w:val="39"/>
    <w:unhideWhenUsed/>
    <w:rsid w:val="00523FF1"/>
    <w:pPr>
      <w:spacing w:after="0"/>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16304F"/>
    <w:pPr>
      <w:spacing w:after="0"/>
    </w:pPr>
    <w:rPr>
      <w:i/>
    </w:rPr>
  </w:style>
  <w:style w:type="character" w:customStyle="1" w:styleId="Un-numberedsubheadingChar">
    <w:name w:val="Un-numbered subheading Char"/>
    <w:link w:val="Un-numberedsubheading"/>
    <w:rsid w:val="00FF0B66"/>
    <w:rPr>
      <w:b/>
    </w:rPr>
  </w:style>
  <w:style w:type="character" w:customStyle="1" w:styleId="SourcereferenceChar">
    <w:name w:val="Source reference Char"/>
    <w:link w:val="Sourcereference"/>
    <w:rsid w:val="0016304F"/>
    <w:rPr>
      <w:i/>
      <w:sz w:val="24"/>
      <w:szCs w:val="24"/>
      <w:lang w:eastAsia="en-US"/>
    </w:rPr>
  </w:style>
  <w:style w:type="paragraph" w:styleId="ListParagraph">
    <w:name w:val="List Paragraph"/>
    <w:basedOn w:val="Normal"/>
    <w:uiPriority w:val="34"/>
    <w:rsid w:val="00BC5855"/>
    <w:pPr>
      <w:ind w:left="720"/>
      <w:contextualSpacing/>
    </w:pPr>
  </w:style>
  <w:style w:type="character" w:styleId="UnresolvedMention">
    <w:name w:val="Unresolved Mention"/>
    <w:basedOn w:val="DefaultParagraphFont"/>
    <w:uiPriority w:val="99"/>
    <w:semiHidden/>
    <w:unhideWhenUsed/>
    <w:rsid w:val="00B77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6763">
      <w:bodyDiv w:val="1"/>
      <w:marLeft w:val="0"/>
      <w:marRight w:val="0"/>
      <w:marTop w:val="0"/>
      <w:marBottom w:val="0"/>
      <w:divBdr>
        <w:top w:val="none" w:sz="0" w:space="0" w:color="auto"/>
        <w:left w:val="none" w:sz="0" w:space="0" w:color="auto"/>
        <w:bottom w:val="none" w:sz="0" w:space="0" w:color="auto"/>
        <w:right w:val="none" w:sz="0" w:space="0" w:color="auto"/>
      </w:divBdr>
    </w:div>
    <w:div w:id="1485312312">
      <w:bodyDiv w:val="1"/>
      <w:marLeft w:val="0"/>
      <w:marRight w:val="0"/>
      <w:marTop w:val="0"/>
      <w:marBottom w:val="0"/>
      <w:divBdr>
        <w:top w:val="none" w:sz="0" w:space="0" w:color="auto"/>
        <w:left w:val="none" w:sz="0" w:space="0" w:color="auto"/>
        <w:bottom w:val="none" w:sz="0" w:space="0" w:color="auto"/>
        <w:right w:val="none" w:sz="0" w:space="0" w:color="auto"/>
      </w:divBdr>
    </w:div>
    <w:div w:id="1782602387">
      <w:bodyDiv w:val="1"/>
      <w:marLeft w:val="0"/>
      <w:marRight w:val="0"/>
      <w:marTop w:val="0"/>
      <w:marBottom w:val="0"/>
      <w:divBdr>
        <w:top w:val="none" w:sz="0" w:space="0" w:color="auto"/>
        <w:left w:val="none" w:sz="0" w:space="0" w:color="auto"/>
        <w:bottom w:val="none" w:sz="0" w:space="0" w:color="auto"/>
        <w:right w:val="none" w:sz="0" w:space="0" w:color="auto"/>
      </w:divBdr>
    </w:div>
    <w:div w:id="20764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g"/><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www.uis.unesco.org/Education/ISCEDMappings/Documents/North%20America%20and%20Western%20Europe/United_Kingdom_ISCED_mapping.xls" TargetMode="External"/><Relationship Id="rId117" Type="http://schemas.openxmlformats.org/officeDocument/2006/relationships/hyperlink" Target="https://www.gov.uk/government/publications/apprenticeship-levy-how-it-will-work/apprenticeship-levy-how-it-will-work" TargetMode="External"/><Relationship Id="rId21" Type="http://schemas.openxmlformats.org/officeDocument/2006/relationships/hyperlink" Target="https://www.gov.uk/government/uploads/system/uploads/attachment_data/file/348871/Outcomes_and_Indicators_Framework_Progress_Report_2014_data_tables_.xls" TargetMode="External"/><Relationship Id="rId42" Type="http://schemas.openxmlformats.org/officeDocument/2006/relationships/hyperlink" Target="http://www.publications.parliament.uk/pa/cm200910/cmselect/cmchilsch/memo/youngpeo/me24.htm" TargetMode="External"/><Relationship Id="rId47" Type="http://schemas.openxmlformats.org/officeDocument/2006/relationships/hyperlink" Target="http://www.jrf.org.uk/media-centre/young-working-and-renting-uk-poverty-65931" TargetMode="External"/><Relationship Id="rId63" Type="http://schemas.openxmlformats.org/officeDocument/2006/relationships/hyperlink" Target="https://www.gov.uk/government/uploads/system/uploads/attachment_data/file/538443/access-to-work-statistics-march-2016.pdf" TargetMode="External"/><Relationship Id="rId68" Type="http://schemas.openxmlformats.org/officeDocument/2006/relationships/hyperlink" Target="https://www.gov.uk/government/statistics/special-educational-needs-in-england-january-2017" TargetMode="External"/><Relationship Id="rId84" Type="http://schemas.openxmlformats.org/officeDocument/2006/relationships/hyperlink" Target="http://www.hefce.ac.uk/sas/disabled/" TargetMode="External"/><Relationship Id="rId89" Type="http://schemas.openxmlformats.org/officeDocument/2006/relationships/hyperlink" Target="http://www.parliament.uk/documents/commons-vote-office/September%202014/12%20September/2-BIS-StudentSupport.pdf" TargetMode="External"/><Relationship Id="rId112" Type="http://schemas.openxmlformats.org/officeDocument/2006/relationships/hyperlink" Target="http://www.gov.scot/resource/doc/340696/0112970.pdf" TargetMode="External"/><Relationship Id="rId16" Type="http://schemas.openxmlformats.org/officeDocument/2006/relationships/hyperlink" Target="https://www.gov.uk/government/uploads/system/uploads/attachment_data/file/348871/Outcomes_and_Indicators_Framework_Progress_Report_2014_data_tables_.xls" TargetMode="External"/><Relationship Id="rId107" Type="http://schemas.openxmlformats.org/officeDocument/2006/relationships/hyperlink" Target="http://www.centreforwelfarereform.org/uploads/attachment/354/a-fair-society.pdf" TargetMode="External"/><Relationship Id="rId11" Type="http://schemas.openxmlformats.org/officeDocument/2006/relationships/hyperlink" Target="http://www.ofmdfmni.gov.uk/index/equality/disability.htm" TargetMode="External"/><Relationship Id="rId32" Type="http://schemas.openxmlformats.org/officeDocument/2006/relationships/hyperlink" Target="http://tbinternet.ohchr.org/_layouts/treatybodyexternal/Download.aspx?symbolno=CRPD%2fC%2fGBR%2fCO%2f1&amp;Lang=en" TargetMode="External"/><Relationship Id="rId37" Type="http://schemas.openxmlformats.org/officeDocument/2006/relationships/hyperlink" Target="http://www.parliament.uk/briefing-papers/SN06705.pdf" TargetMode="External"/><Relationship Id="rId53" Type="http://schemas.openxmlformats.org/officeDocument/2006/relationships/hyperlink" Target="https://www.parliament.uk/business/committees/committees-a-z/commons-select/work-and-pensions-committee/news-parliament-2015/disability-employment-gap-launch-15-16/" TargetMode="External"/><Relationship Id="rId58" Type="http://schemas.openxmlformats.org/officeDocument/2006/relationships/hyperlink" Target="https://www.gov.uk/government/uploads/system/uploads/attachment_data/file/615669/work-choice-statistics-to-march-2017.pdf" TargetMode="External"/><Relationship Id="rId74" Type="http://schemas.openxmlformats.org/officeDocument/2006/relationships/hyperlink" Target="https://councilfordisabledchildren.org.uk/sites/default/files/field/attachemnt/EHCP%20Exemplar%20Guide%202017.pdf" TargetMode="External"/><Relationship Id="rId79" Type="http://schemas.openxmlformats.org/officeDocument/2006/relationships/hyperlink" Target="http://www.employer-toolkit.org.uk/" TargetMode="External"/><Relationship Id="rId102" Type="http://schemas.openxmlformats.org/officeDocument/2006/relationships/hyperlink" Target="http://researchbriefings.parliament.uk/ResearchBriefing/Summary/CDP-2017-0110" TargetMode="External"/><Relationship Id="rId123" Type="http://schemas.openxmlformats.org/officeDocument/2006/relationships/hyperlink" Target="https://www.gov.uk/government/uploads/system/uploads/attachment_data/file/306999/bis-14-756-equality-impact-assessment-UK-partnership-agreement.pdf" TargetMode="External"/><Relationship Id="rId5" Type="http://schemas.openxmlformats.org/officeDocument/2006/relationships/hyperlink" Target="https://www.gov.uk/government/uploads/system/uploads/attachment_data/file/320745/making-it-happen.pdf" TargetMode="External"/><Relationship Id="rId61" Type="http://schemas.openxmlformats.org/officeDocument/2006/relationships/hyperlink" Target="https://www.gov.uk/government/uploads/system/uploads/attachment_data/file/640511/employment-schemes-statistics-to-may-2017.pdf" TargetMode="External"/><Relationship Id="rId82" Type="http://schemas.openxmlformats.org/officeDocument/2006/relationships/hyperlink" Target="http://www.ecu.ac.uk/goodpracticefund/funded-projects/" TargetMode="External"/><Relationship Id="rId90" Type="http://schemas.openxmlformats.org/officeDocument/2006/relationships/hyperlink" Target="https://www.gov.uk/government/uploads/system/uploads/attachment_data/file/439947/bis-15-81-consultation-on-targeting-funding-for-disabled_students-in-higher-education-from-2016-17.pdf" TargetMode="External"/><Relationship Id="rId95" Type="http://schemas.openxmlformats.org/officeDocument/2006/relationships/hyperlink" Target="http://www.bbc.co.uk/news/business-33429390" TargetMode="External"/><Relationship Id="rId19" Type="http://schemas.openxmlformats.org/officeDocument/2006/relationships/hyperlink" Target="https://www.gov.uk/government/uploads/system/uploads/attachment_data/file/348871/Outcomes_and_Indicators_Framework_Progress_Report_2014_data_tables_.xls" TargetMode="External"/><Relationship Id="rId14" Type="http://schemas.openxmlformats.org/officeDocument/2006/relationships/hyperlink" Target="http://www.disability-europe.net/theme/statistical-indicators" TargetMode="External"/><Relationship Id="rId22" Type="http://schemas.openxmlformats.org/officeDocument/2006/relationships/hyperlink" Target="https://www.ons.gov.uk/file?uri=/employmentandlabourmarket/peopleinwork/employmentandemployeetypes/datasets/labourmarketstatusofdisabledpeoplea08/current/a08aug2016.xls" TargetMode="External"/><Relationship Id="rId27" Type="http://schemas.openxmlformats.org/officeDocument/2006/relationships/hyperlink" Target="http://nesstar.ukdataservice.ac.uk/webview/index.jsp?headers=http%3A%2F%2F155.245.69.3%3A80%2Fobj%2FfVariable%2F8235_V115&amp;previousmode=table&amp;stubs=http%3A%2F%2F155.245.69.3%3A80%2Fobj%2FfVariable%2F8235_V339&amp;stubs=http%3A%2F%2F155.245.69.3%3A80%2Fobj%2FfVariable%2F8235_V346&amp;count=1&amp;cases1=7&amp;cases2=13&amp;study=http%3A%2F%2F155.245.69.3%3A80%2Fobj%2FfStudy%2F8235&amp;var1=http%3A%2F%2F155.245.69.3%3A80%2Fobj%2FfVariable%2F8235_V15&amp;var2=http%3A%2F%2F155.245.69.3%3A80%2Fobj%2FfVariable%2F8235_V15&amp;mode=table&amp;op1=%26gt%3B%3D&amp;v=2&amp;op2=%26lt%3B%3D&amp;weights=http%3A%2F%2F155.245.69.3%3A80%2Fobj%2FfVariable%2F8235_V489&amp;V346slice=1&amp;V115slice=1&amp;V339slice=1&amp;analysismode=table&amp;ao1=and&amp;ao2=and&amp;top=yes" TargetMode="External"/><Relationship Id="rId30" Type="http://schemas.openxmlformats.org/officeDocument/2006/relationships/hyperlink" Target="http://www.uis.unesco.org/Education/ISCEDMappings/Documents/North%20America%20and%20Western%20Europe/United_Kingdom_ISCED_mapping.xls" TargetMode="External"/><Relationship Id="rId35" Type="http://schemas.openxmlformats.org/officeDocument/2006/relationships/hyperlink" Target="http://www.ons.gov.uk/ons/rel/los/life-opportunities-survey/wave-three--final-report--october-2012-to-september-2014/rpt-chapter-3.html" TargetMode="External"/><Relationship Id="rId43" Type="http://schemas.openxmlformats.org/officeDocument/2006/relationships/hyperlink" Target="http://webarchive.nationalarchives.gov.uk/20131128110838/http:/odi.dwp.gov.uk/disability-statistics-and-research/disability-equality-indicators.php" TargetMode="External"/><Relationship Id="rId48" Type="http://schemas.openxmlformats.org/officeDocument/2006/relationships/hyperlink" Target="http://www.poverty.org.uk/reports/disability.pdf" TargetMode="External"/><Relationship Id="rId56" Type="http://schemas.openxmlformats.org/officeDocument/2006/relationships/hyperlink" Target="https://www.gov.uk/government/uploads/system/uploads/attachment_data/file/193323/rrep821.pdf" TargetMode="External"/><Relationship Id="rId64" Type="http://schemas.openxmlformats.org/officeDocument/2006/relationships/hyperlink" Target="file:///\\drivemap.bisdrive.nl\HEC$\Projects_General\82%20-85-%2088%20%20ANED%20follow-up\Tasks%202017-2018\Task%20EU2020\03_National%20reports\UK\%09https:\www.gov.uk\government\uploads\system\uploads\attachment_data\file\650163\access-to-work-statistics-april-2007-to-march-2017.pdf" TargetMode="External"/><Relationship Id="rId69" Type="http://schemas.openxmlformats.org/officeDocument/2006/relationships/hyperlink" Target="https://www.gov.uk/children-with-special-educational-needs/extra-SEN-help" TargetMode="External"/><Relationship Id="rId77" Type="http://schemas.openxmlformats.org/officeDocument/2006/relationships/hyperlink" Target="https://www.gov.uk/education-maintenance-allowance-ema" TargetMode="External"/><Relationship Id="rId100" Type="http://schemas.openxmlformats.org/officeDocument/2006/relationships/hyperlink" Target="https://www.theguardian.com/society/2017/oct/31/universal-credit-pushing-disabled-people-into-poverty" TargetMode="External"/><Relationship Id="rId105" Type="http://schemas.openxmlformats.org/officeDocument/2006/relationships/hyperlink" Target="http://www.jrf.org.uk/sites/files/jrf/MPSE-2014-FULL.pdf" TargetMode="External"/><Relationship Id="rId113" Type="http://schemas.openxmlformats.org/officeDocument/2006/relationships/hyperlink" Target="http://www.planningportal.gov.uk/buildingregulations/approveddocuments/partm/adm/admvol1" TargetMode="External"/><Relationship Id="rId118" Type="http://schemas.openxmlformats.org/officeDocument/2006/relationships/hyperlink" Target="https://www.gov.uk/government/publications/apprenticeships-proposals-for-funding-from-may-2017" TargetMode="External"/><Relationship Id="rId8" Type="http://schemas.openxmlformats.org/officeDocument/2006/relationships/hyperlink" Target="https://www.gov.uk/government/publications/fulfilling-potential-making-it-happen-updates-september-2014" TargetMode="External"/><Relationship Id="rId51" Type="http://schemas.openxmlformats.org/officeDocument/2006/relationships/hyperlink" Target="http://npi.org.uk/files/3414/7087/2429/Disability_and_poverty_MAIN_REPORT_FINAL.pdf" TargetMode="External"/><Relationship Id="rId72" Type="http://schemas.openxmlformats.org/officeDocument/2006/relationships/hyperlink" Target="https://www.gov.uk/government/uploads/system/uploads/attachment_data/file/414388/SEND_implementation_update.pdf" TargetMode="External"/><Relationship Id="rId80" Type="http://schemas.openxmlformats.org/officeDocument/2006/relationships/hyperlink" Target="http://www.disabilityrightsuk.org/news/2014/april/our-new-apprenticeships-guide" TargetMode="External"/><Relationship Id="rId85" Type="http://schemas.openxmlformats.org/officeDocument/2006/relationships/hyperlink" Target="https://www.gov.uk/government/publications/inclusive-teaching-and-learning-in-higher-education" TargetMode="External"/><Relationship Id="rId93" Type="http://schemas.openxmlformats.org/officeDocument/2006/relationships/hyperlink" Target="http://tbinternet.ohchr.org/_layouts/treatybodyexternal/Download.aspx?symbolno=E%2fC.12%2fGBR%2fQ%2f6&amp;Lang=en" TargetMode="External"/><Relationship Id="rId98" Type="http://schemas.openxmlformats.org/officeDocument/2006/relationships/hyperlink" Target="https://www.gov.uk/government/uploads/system/uploads/attachment_data/file/329948/rr882-evaluation-of-removal-of-the-spare-room-subsidy.pdf" TargetMode="External"/><Relationship Id="rId121" Type="http://schemas.openxmlformats.org/officeDocument/2006/relationships/hyperlink" Target="https://www.gov.uk/government/uploads/system/uploads/attachment_data/file/314974/esf-good-practice-disabled-people.pdf" TargetMode="External"/><Relationship Id="rId3" Type="http://schemas.openxmlformats.org/officeDocument/2006/relationships/hyperlink" Target="http://www.scope.org.uk/Scope/media/Documents/Publication%20Directory/A-million-futures-halving-the-disability-employment-gap.pdf" TargetMode="External"/><Relationship Id="rId12" Type="http://schemas.openxmlformats.org/officeDocument/2006/relationships/hyperlink" Target="http://gov.wales/docs/dsjlg/publications/equality/151123-framework-action-independent-living-en.pdf" TargetMode="External"/><Relationship Id="rId17" Type="http://schemas.openxmlformats.org/officeDocument/2006/relationships/hyperlink" Target="https://www.gov.uk/government/statistics/opinions-and-lifestyle-survey-fulfilling-potential-outcomes-and-indicators-2014-data" TargetMode="External"/><Relationship Id="rId25" Type="http://schemas.openxmlformats.org/officeDocument/2006/relationships/hyperlink" Target="http://epp.eurostat.ec.europa.eu/statistics_explained/index.php/Glossary:Early_leaver_from_education_and_training" TargetMode="External"/><Relationship Id="rId33" Type="http://schemas.openxmlformats.org/officeDocument/2006/relationships/hyperlink" Target="http://ec.europa.eu/europe2020/pdf/csr2016/csr2016_uk_en.pdf" TargetMode="External"/><Relationship Id="rId38" Type="http://schemas.openxmlformats.org/officeDocument/2006/relationships/hyperlink" Target="http://dx.doi.org/10.1787/888932439843" TargetMode="External"/><Relationship Id="rId46" Type="http://schemas.openxmlformats.org/officeDocument/2006/relationships/hyperlink" Target="http://www.ons.gov.uk/employmentandlabourmarket/peopleinwork/employmentandemployeetypes/bulletins/workingandworklesshouseholds/aprtojune2016" TargetMode="External"/><Relationship Id="rId59" Type="http://schemas.openxmlformats.org/officeDocument/2006/relationships/hyperlink" Target="https://www.gov.uk/government/publications/intensive-activity-programme-trial-evaluation" TargetMode="External"/><Relationship Id="rId67" Type="http://schemas.openxmlformats.org/officeDocument/2006/relationships/hyperlink" Target="https://treaties.un.org/Pages/ViewDetails.aspx?src=IND&amp;mtdsg_no=IV-15&amp;chapter=4&amp;lang=en" TargetMode="External"/><Relationship Id="rId103" Type="http://schemas.openxmlformats.org/officeDocument/2006/relationships/hyperlink" Target="https://www.gov.uk/help-with-childcare-costs/tax-free-childcare" TargetMode="External"/><Relationship Id="rId108" Type="http://schemas.openxmlformats.org/officeDocument/2006/relationships/hyperlink" Target="http://www.centreforwelfarereform.org/library/type/pdfs/dignity-and-opportunity-for-all.html" TargetMode="External"/><Relationship Id="rId116" Type="http://schemas.openxmlformats.org/officeDocument/2006/relationships/hyperlink" Target="https://www.gov.uk/government/uploads/system/uploads/attachment_data/file/527346/STANDARD_Construction_Design_and_Build_Technician.pdf" TargetMode="External"/><Relationship Id="rId124" Type="http://schemas.openxmlformats.org/officeDocument/2006/relationships/hyperlink" Target="http://wales.gov.uk/docs/det/consultation/130708consultationanalysisen.pdf" TargetMode="External"/><Relationship Id="rId20" Type="http://schemas.openxmlformats.org/officeDocument/2006/relationships/hyperlink" Target="https://www.ons.gov.uk/file?uri=/employmentandlabourmarket/peopleinwork/employmentandemployeetypes/datasets/labourmarketstatusofdisabledpeoplea08/current/a08aug2017.xls" TargetMode="External"/><Relationship Id="rId41" Type="http://schemas.openxmlformats.org/officeDocument/2006/relationships/hyperlink" Target="http://www.hefce.ac.uk/analysis/HEinEngland/students/disability/" TargetMode="External"/><Relationship Id="rId54" Type="http://schemas.openxmlformats.org/officeDocument/2006/relationships/hyperlink" Target="https://www.gov.uk/government/uploads/system/uploads/attachment_data/file/525175/mandatory-programmes-statistics-to-feb-2016.pdf" TargetMode="External"/><Relationship Id="rId62" Type="http://schemas.openxmlformats.org/officeDocument/2006/relationships/hyperlink" Target="https://www.gov.uk/government/uploads/system/uploads/attachment_data/file/553879/access-to-work-october-2016-statistical-notice.pdf" TargetMode="External"/><Relationship Id="rId70" Type="http://schemas.openxmlformats.org/officeDocument/2006/relationships/hyperlink" Target="https://www.gov.uk/government/statistics/special-educational-needs-in-england-january-2017" TargetMode="External"/><Relationship Id="rId75" Type="http://schemas.openxmlformats.org/officeDocument/2006/relationships/hyperlink" Target="https://www.gov.uk/know-when-you-can-leave-school" TargetMode="External"/><Relationship Id="rId83" Type="http://schemas.openxmlformats.org/officeDocument/2006/relationships/hyperlink" Target="https://www.gov.uk/government/statistical-data-sets/fe-data-library-apprenticeships" TargetMode="External"/><Relationship Id="rId88" Type="http://schemas.openxmlformats.org/officeDocument/2006/relationships/hyperlink" Target="https://www.gov.uk/government/speeches/higher-education-student-support-changes-to-disabled-students-allowances-dsa" TargetMode="External"/><Relationship Id="rId91" Type="http://schemas.openxmlformats.org/officeDocument/2006/relationships/hyperlink" Target="http://reach.ac.uk/disabled-student-allowance-dsas-changes-201617-a-simplified-guide/" TargetMode="External"/><Relationship Id="rId96" Type="http://schemas.openxmlformats.org/officeDocument/2006/relationships/hyperlink" Target="https://www.gov.uk/benefit-cap/benefit-cap-amounts" TargetMode="External"/><Relationship Id="rId111" Type="http://schemas.openxmlformats.org/officeDocument/2006/relationships/hyperlink" Target="https://www.gov.uk/government/publications/national-planning-policy-framework--2" TargetMode="External"/><Relationship Id="rId1" Type="http://schemas.openxmlformats.org/officeDocument/2006/relationships/hyperlink" Target="http://ec.europa.eu/europe2020/pdf/targets_en.pdf" TargetMode="External"/><Relationship Id="rId6" Type="http://schemas.openxmlformats.org/officeDocument/2006/relationships/hyperlink" Target="https://www.gov.uk/government/uploads/system/uploads/attachment_data/file/320740/making-it-happen-action-plan.pdf" TargetMode="External"/><Relationship Id="rId15" Type="http://schemas.openxmlformats.org/officeDocument/2006/relationships/hyperlink" Target="https://www.nomisweb.co.uk/articles/833.aspx" TargetMode="External"/><Relationship Id="rId23" Type="http://schemas.openxmlformats.org/officeDocument/2006/relationships/hyperlink" Target="http://appsso.eurostat.ec.europa.eu/nui/show.do?dataset=hlth_de010&amp;lang=en" TargetMode="External"/><Relationship Id="rId28" Type="http://schemas.openxmlformats.org/officeDocument/2006/relationships/hyperlink" Target="https://www.gov.uk/government/uploads/system/uploads/attachment_data/file/348871/Outcomes_and_Indicators_Framework_Progress_Report_2014_data_tables_.xls" TargetMode="External"/><Relationship Id="rId36" Type="http://schemas.openxmlformats.org/officeDocument/2006/relationships/hyperlink" Target="http://www.ons.gov.uk/ons/rel/los/life-opportunities-survey/wave-two--part-ii/rpt-chapter-3.html" TargetMode="External"/><Relationship Id="rId49" Type="http://schemas.openxmlformats.org/officeDocument/2006/relationships/hyperlink" Target="http://www.jrf.org.uk/sites/files/jrf/MPSE-2014-FULL.pdf" TargetMode="External"/><Relationship Id="rId57" Type="http://schemas.openxmlformats.org/officeDocument/2006/relationships/hyperlink" Target="https://www.gov.uk/government/uploads/system/uploads/attachment_data/file/477460/work-choice-statistics-sep-2015.pdf" TargetMode="External"/><Relationship Id="rId106" Type="http://schemas.openxmlformats.org/officeDocument/2006/relationships/hyperlink" Target="http://ec.europa.eu/europe2020/pdf/csr2016/csr2016_uk_en.pdf" TargetMode="External"/><Relationship Id="rId114" Type="http://schemas.openxmlformats.org/officeDocument/2006/relationships/hyperlink" Target="https://www.instituteforapprenticeships.org/" TargetMode="External"/><Relationship Id="rId119" Type="http://schemas.openxmlformats.org/officeDocument/2006/relationships/hyperlink" Target="https://ec.europa.eu/info/sites/info/files/2017-european-semester-country-report-united-kingdom-en.pdf" TargetMode="External"/><Relationship Id="rId10" Type="http://schemas.openxmlformats.org/officeDocument/2006/relationships/hyperlink" Target="https://www.executiveoffice-ni.gov.uk/publications/disability-strategy-2012-%E2%80%93-2015-baseline-indicator-set" TargetMode="External"/><Relationship Id="rId31" Type="http://schemas.openxmlformats.org/officeDocument/2006/relationships/hyperlink" Target="http://nesstar.ukdataservice.ac.uk/webview/index.jsp?headers=http%3A%2F%2F155.245.69.3%3A80%2Fobj%2FfVariable%2F8235_V115&amp;previousmode=table&amp;stubs=http%3A%2F%2F155.245.69.3%3A80%2Fobj%2FfVariable%2F8235_V346&amp;count=0&amp;cases1=15&amp;charttype=null&amp;study=http%3A%2F%2F155.245.69.3%3A80%2Fobj%2FfStudy%2F8235&amp;var1=http%3A%2F%2F155.245.69.3%3A80%2Fobj%2FfVariable%2F8235_V15&amp;mode=table&amp;op1=%3D&amp;v=2&amp;weights=http%3A%2F%2F155.245.69.3%3A80%2Fobj%2FfVariable%2F8235_V489&amp;V346slice=1&amp;V115slice=1&amp;analysismode=table&amp;ao1=and&amp;top=yes" TargetMode="External"/><Relationship Id="rId44" Type="http://schemas.openxmlformats.org/officeDocument/2006/relationships/hyperlink" Target="http://tbinternet.ohchr.org/_layouts/treatybodyexternal/Download.aspx?symbolno=CRPD%2fC%2fGBR%2fCO%2f1&amp;Lang=en" TargetMode="External"/><Relationship Id="rId52" Type="http://schemas.openxmlformats.org/officeDocument/2006/relationships/hyperlink" Target="http://tbinternet.ohchr.org/_layouts/treatybodyexternal/Download.aspx?symbolno=CRPD%2fC%2fGBR%2fCO%2f1&amp;Lang=en" TargetMode="External"/><Relationship Id="rId60" Type="http://schemas.openxmlformats.org/officeDocument/2006/relationships/hyperlink" Target="https://www.gov.uk/government/uploads/system/uploads/attachment_data/file/550389/youth-offer-statistics-to-may-2016.pdf" TargetMode="External"/><Relationship Id="rId65" Type="http://schemas.openxmlformats.org/officeDocument/2006/relationships/hyperlink" Target="http://stopchanges2atw.com/march-with-us/" TargetMode="External"/><Relationship Id="rId73" Type="http://schemas.openxmlformats.org/officeDocument/2006/relationships/hyperlink" Target="http://www.sendpathfinder.co.uk/coordinated-assessment-process" TargetMode="External"/><Relationship Id="rId78" Type="http://schemas.openxmlformats.org/officeDocument/2006/relationships/hyperlink" Target="https://www.gov.uk/government/uploads/system/uploads/attachment_data/file/275104/RR326B_EHC_planning_pathway_-_FINAL.pdf" TargetMode="External"/><Relationship Id="rId81" Type="http://schemas.openxmlformats.org/officeDocument/2006/relationships/hyperlink" Target="http://www.ecu.ac.uk/goodpracticefund/" TargetMode="External"/><Relationship Id="rId86" Type="http://schemas.openxmlformats.org/officeDocument/2006/relationships/hyperlink" Target="https://www.gov.uk/disabled-students-allowances-dsas" TargetMode="External"/><Relationship Id="rId94" Type="http://schemas.openxmlformats.org/officeDocument/2006/relationships/hyperlink" Target="http://www.ohchr.org/Documents/HRBodies/CRPD/CRPD.C.15.R.2.Rev.1-ENG.doc" TargetMode="External"/><Relationship Id="rId99" Type="http://schemas.openxmlformats.org/officeDocument/2006/relationships/hyperlink" Target="https://www.gov.uk/government/publications/universal-credit-if-you-have-a-disability-or-health-condition-quick-guide/universal-credit-if-you-have-a-disability-or-health-condition" TargetMode="External"/><Relationship Id="rId101" Type="http://schemas.openxmlformats.org/officeDocument/2006/relationships/hyperlink" Target="https://www.gov.uk/government/uploads/system/uploads/attachment_data/file/508193/HMT_Budget_2016_Web_Accessible.pdf" TargetMode="External"/><Relationship Id="rId122" Type="http://schemas.openxmlformats.org/officeDocument/2006/relationships/hyperlink" Target="https://www.gov.uk/government/uploads/system/uploads/attachment_data/file/307562/bis-14-773-eu-structural-funds-uk-allocations-2014-to-2020-equality-impact.pdf" TargetMode="External"/><Relationship Id="rId4" Type="http://schemas.openxmlformats.org/officeDocument/2006/relationships/hyperlink" Target="https://www.tuc.org.uk/sites/default/files/DisabilityandEmploymentReport.pdf" TargetMode="External"/><Relationship Id="rId9" Type="http://schemas.openxmlformats.org/officeDocument/2006/relationships/hyperlink" Target="http://www.gov.scot/Publications/2016/12/3778" TargetMode="External"/><Relationship Id="rId13" Type="http://schemas.openxmlformats.org/officeDocument/2006/relationships/hyperlink" Target="http://epp.eurostat.ec.europa.eu/statistics_explained/index.php/Glossary:Minimum_European_Health_Module_(MEHM)" TargetMode="External"/><Relationship Id="rId18" Type="http://schemas.openxmlformats.org/officeDocument/2006/relationships/hyperlink" Target="https://www.ons.gov.uk/file?uri=/employmentandlabourmarket/peopleinwork/employmentandemployeetypes/datasets/labourmarketstatusofdisabledpeoplea08/current/a08aug2017.xls" TargetMode="External"/><Relationship Id="rId39" Type="http://schemas.openxmlformats.org/officeDocument/2006/relationships/hyperlink" Target="http://www.ons.gov.uk/ons/rel/los/life-opportunities-survey/wave-three--final-report--october-2012-to-september-2014/rpt-chapter-3.html" TargetMode="External"/><Relationship Id="rId109" Type="http://schemas.openxmlformats.org/officeDocument/2006/relationships/hyperlink" Target="http://tbinternet.ohchr.org/_layouts/TreatyBodyExternal/Countries.aspx?CountryCode=GBR&amp;Lang=EN" TargetMode="External"/><Relationship Id="rId34" Type="http://schemas.openxmlformats.org/officeDocument/2006/relationships/hyperlink" Target="https://www.ons.gov.uk/employmentandlabourmarket/peopleinwork/employmentandemployeetypes/bulletins/uklabourmarket/june2017" TargetMode="External"/><Relationship Id="rId50" Type="http://schemas.openxmlformats.org/officeDocument/2006/relationships/hyperlink" Target="http://www.equalityhumanrights.com/IsBritainFairer" TargetMode="External"/><Relationship Id="rId55" Type="http://schemas.openxmlformats.org/officeDocument/2006/relationships/hyperlink" Target="http://researchbriefings.parliament.uk/ResearchBriefing/Summary/CBP-7845" TargetMode="External"/><Relationship Id="rId76" Type="http://schemas.openxmlformats.org/officeDocument/2006/relationships/hyperlink" Target="http://www.councilfordisabledchildren.org.uk/youngpeoplesadvisorygroup" TargetMode="External"/><Relationship Id="rId97" Type="http://schemas.openxmlformats.org/officeDocument/2006/relationships/hyperlink" Target="http://www.bailii.org/ew/cases/EWHC/Admin/2013/897.html" TargetMode="External"/><Relationship Id="rId104" Type="http://schemas.openxmlformats.org/officeDocument/2006/relationships/hyperlink" Target="https://www.equalityhumanrights.com/en/inquiries-and-investigations/inquiry-housing-disabled-people" TargetMode="External"/><Relationship Id="rId120" Type="http://schemas.openxmlformats.org/officeDocument/2006/relationships/hyperlink" Target="http://www.berr.gov.uk/files/file34769.doc" TargetMode="External"/><Relationship Id="rId125" Type="http://schemas.openxmlformats.org/officeDocument/2006/relationships/hyperlink" Target="http://www.scotland.gov.uk/Resource/0044/00449625.pdf" TargetMode="External"/><Relationship Id="rId7" Type="http://schemas.openxmlformats.org/officeDocument/2006/relationships/hyperlink" Target="https://www.gov.uk/government/uploads/system/uploads/attachment_data/file/320756/making-it-happen-technical-annex.pdf" TargetMode="External"/><Relationship Id="rId71" Type="http://schemas.openxmlformats.org/officeDocument/2006/relationships/hyperlink" Target="https://www.gov.uk/government/uploads/system/uploads/attachment_data/file/275104/RR326B_EHC_planning_pathway_-_FINAL.pdf" TargetMode="External"/><Relationship Id="rId92" Type="http://schemas.openxmlformats.org/officeDocument/2006/relationships/hyperlink" Target="https://www.gov.uk/government/uploads/system/uploads/attachment_data/file/392610/bis-14-1108-higher-education-disabled-students-allowances-equality-analysis-revised-16-12-2014.pdf" TargetMode="External"/><Relationship Id="rId2" Type="http://schemas.openxmlformats.org/officeDocument/2006/relationships/hyperlink" Target="http://www.reform.uk/publication/rt-hon-iain-duncan-smith-mp-speech-on-work-health-and-disability/" TargetMode="External"/><Relationship Id="rId29" Type="http://schemas.openxmlformats.org/officeDocument/2006/relationships/hyperlink" Target="https://www.gov.uk/government/uploads/system/uploads/attachment_data/file/348871/Outcomes_and_Indicators_Framework_Progress_Report_2014_data_tables_.xls" TargetMode="External"/><Relationship Id="rId24" Type="http://schemas.openxmlformats.org/officeDocument/2006/relationships/hyperlink" Target="http://appsso.eurostat.ec.europa.eu/nui/show.do?dataset=hlth_de020&amp;lang=en" TargetMode="External"/><Relationship Id="rId40" Type="http://schemas.openxmlformats.org/officeDocument/2006/relationships/hyperlink" Target="http://www.hefce.ac.uk/analysis/HEinEngland/students/disability/" TargetMode="External"/><Relationship Id="rId45" Type="http://schemas.openxmlformats.org/officeDocument/2006/relationships/hyperlink" Target="http://ec.europa.eu/eurostat/web/health/disability/data/database" TargetMode="External"/><Relationship Id="rId66" Type="http://schemas.openxmlformats.org/officeDocument/2006/relationships/hyperlink" Target="http://tbinternet.ohchr.org/_layouts/treatybodyexternal/Download.aspx?symbolno=CRPD%2fC%2fGBR%2fCO%2f1&amp;Lang=en" TargetMode="External"/><Relationship Id="rId87" Type="http://schemas.openxmlformats.org/officeDocument/2006/relationships/hyperlink" Target="https://www.hesa.ac.uk/pis/dsa" TargetMode="External"/><Relationship Id="rId110" Type="http://schemas.openxmlformats.org/officeDocument/2006/relationships/hyperlink" Target="http://tbinternet.ohchr.org/_layouts/treatybodyexternal/Download.aspx?symbolno=CRPD%2fC%2fGBR%2fCO%2f1&amp;Lang=en" TargetMode="External"/><Relationship Id="rId115" Type="http://schemas.openxmlformats.org/officeDocument/2006/relationships/hyperlink" Target="https://www.gov.uk/government/publications/apprenticeship-standards-funding-ru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Sheet1!$B$2:$B$9</c:f>
              <c:numCache>
                <c:formatCode>0.0</c:formatCode>
                <c:ptCount val="8"/>
                <c:pt idx="0">
                  <c:v>74.709999999999994</c:v>
                </c:pt>
                <c:pt idx="1">
                  <c:v>25.29</c:v>
                </c:pt>
                <c:pt idx="2">
                  <c:v>8.0399999999999991</c:v>
                </c:pt>
                <c:pt idx="3">
                  <c:v>17.25</c:v>
                </c:pt>
                <c:pt idx="4">
                  <c:v>27.46</c:v>
                </c:pt>
                <c:pt idx="5">
                  <c:v>22.95</c:v>
                </c:pt>
                <c:pt idx="6">
                  <c:v>17.809999999999999</c:v>
                </c:pt>
                <c:pt idx="7">
                  <c:v>50.09</c:v>
                </c:pt>
              </c:numCache>
            </c:numRef>
          </c:val>
          <c:extLst>
            <c:ext xmlns:c16="http://schemas.microsoft.com/office/drawing/2014/chart" uri="{C3380CC4-5D6E-409C-BE32-E72D297353CC}">
              <c16:uniqueId val="{00000000-12D2-460D-9E40-31E538965C4A}"/>
            </c:ext>
          </c:extLst>
        </c:ser>
        <c:ser>
          <c:idx val="1"/>
          <c:order val="1"/>
          <c:tx>
            <c:strRef>
              <c:f>Sheet1!$C$1</c:f>
              <c:strCache>
                <c:ptCount val="1"/>
                <c:pt idx="0">
                  <c:v>National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Sheet1!$C$2:$C$9</c:f>
              <c:numCache>
                <c:formatCode>0.0</c:formatCode>
                <c:ptCount val="8"/>
                <c:pt idx="0">
                  <c:v>76.599999999999994</c:v>
                </c:pt>
                <c:pt idx="1">
                  <c:v>23.4</c:v>
                </c:pt>
                <c:pt idx="2">
                  <c:v>10.58</c:v>
                </c:pt>
                <c:pt idx="3">
                  <c:v>12.81</c:v>
                </c:pt>
                <c:pt idx="4">
                  <c:v>25.37</c:v>
                </c:pt>
                <c:pt idx="5">
                  <c:v>21.32</c:v>
                </c:pt>
                <c:pt idx="6">
                  <c:v>17.3</c:v>
                </c:pt>
                <c:pt idx="7">
                  <c:v>45.28</c:v>
                </c:pt>
              </c:numCache>
            </c:numRef>
          </c:val>
          <c:extLst>
            <c:ext xmlns:c16="http://schemas.microsoft.com/office/drawing/2014/chart" uri="{C3380CC4-5D6E-409C-BE32-E72D297353CC}">
              <c16:uniqueId val="{00000001-12D2-460D-9E40-31E538965C4A}"/>
            </c:ext>
          </c:extLst>
        </c:ser>
        <c:dLbls>
          <c:showLegendKey val="0"/>
          <c:showVal val="0"/>
          <c:showCatName val="0"/>
          <c:showSerName val="0"/>
          <c:showPercent val="0"/>
          <c:showBubbleSize val="0"/>
        </c:dLbls>
        <c:gapWidth val="150"/>
        <c:axId val="142824536"/>
        <c:axId val="142824144"/>
      </c:barChart>
      <c:catAx>
        <c:axId val="142824536"/>
        <c:scaling>
          <c:orientation val="maxMin"/>
        </c:scaling>
        <c:delete val="0"/>
        <c:axPos val="l"/>
        <c:numFmt formatCode="General" sourceLinked="1"/>
        <c:majorTickMark val="none"/>
        <c:minorTickMark val="none"/>
        <c:tickLblPos val="nextTo"/>
        <c:crossAx val="142824144"/>
        <c:crosses val="autoZero"/>
        <c:auto val="1"/>
        <c:lblAlgn val="ctr"/>
        <c:lblOffset val="100"/>
        <c:noMultiLvlLbl val="0"/>
      </c:catAx>
      <c:valAx>
        <c:axId val="142824144"/>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142824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49.1</c:v>
                </c:pt>
                <c:pt idx="1">
                  <c:v>44.7</c:v>
                </c:pt>
                <c:pt idx="2">
                  <c:v>44.1</c:v>
                </c:pt>
                <c:pt idx="3">
                  <c:v>49.1</c:v>
                </c:pt>
                <c:pt idx="4">
                  <c:v>48.7</c:v>
                </c:pt>
                <c:pt idx="5">
                  <c:v>48.3</c:v>
                </c:pt>
                <c:pt idx="6">
                  <c:v>49.29</c:v>
                </c:pt>
                <c:pt idx="7">
                  <c:v>50.6</c:v>
                </c:pt>
              </c:numCache>
            </c:numRef>
          </c:val>
          <c:smooth val="0"/>
          <c:extLst>
            <c:ext xmlns:c16="http://schemas.microsoft.com/office/drawing/2014/chart" uri="{C3380CC4-5D6E-409C-BE32-E72D297353CC}">
              <c16:uniqueId val="{00000000-C4CB-4AF6-9051-1A90254D851E}"/>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53.4</c:v>
                </c:pt>
                <c:pt idx="1">
                  <c:v>52.5</c:v>
                </c:pt>
                <c:pt idx="2">
                  <c:v>49.5</c:v>
                </c:pt>
                <c:pt idx="3">
                  <c:v>54.7</c:v>
                </c:pt>
                <c:pt idx="4">
                  <c:v>54.2</c:v>
                </c:pt>
                <c:pt idx="5">
                  <c:v>53.8</c:v>
                </c:pt>
                <c:pt idx="6">
                  <c:v>56.87</c:v>
                </c:pt>
                <c:pt idx="7">
                  <c:v>55.16</c:v>
                </c:pt>
              </c:numCache>
            </c:numRef>
          </c:val>
          <c:smooth val="0"/>
          <c:extLst>
            <c:ext xmlns:c16="http://schemas.microsoft.com/office/drawing/2014/chart" uri="{C3380CC4-5D6E-409C-BE32-E72D297353CC}">
              <c16:uniqueId val="{00000001-C4CB-4AF6-9051-1A90254D851E}"/>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77.5</c:v>
                </c:pt>
                <c:pt idx="1">
                  <c:v>76.8</c:v>
                </c:pt>
                <c:pt idx="2">
                  <c:v>76.599999999999994</c:v>
                </c:pt>
                <c:pt idx="3">
                  <c:v>77.3</c:v>
                </c:pt>
                <c:pt idx="4">
                  <c:v>78.8</c:v>
                </c:pt>
                <c:pt idx="5">
                  <c:v>77.2</c:v>
                </c:pt>
                <c:pt idx="6">
                  <c:v>79.459999999999994</c:v>
                </c:pt>
                <c:pt idx="7">
                  <c:v>77.459999999999994</c:v>
                </c:pt>
              </c:numCache>
            </c:numRef>
          </c:val>
          <c:smooth val="0"/>
          <c:extLst>
            <c:ext xmlns:c16="http://schemas.microsoft.com/office/drawing/2014/chart" uri="{C3380CC4-5D6E-409C-BE32-E72D297353CC}">
              <c16:uniqueId val="{00000002-C4CB-4AF6-9051-1A90254D851E}"/>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91.3</c:v>
                </c:pt>
                <c:pt idx="1">
                  <c:v>91.1</c:v>
                </c:pt>
                <c:pt idx="2">
                  <c:v>90.3</c:v>
                </c:pt>
                <c:pt idx="3">
                  <c:v>90.7</c:v>
                </c:pt>
                <c:pt idx="4">
                  <c:v>90.5</c:v>
                </c:pt>
                <c:pt idx="5">
                  <c:v>91.6</c:v>
                </c:pt>
                <c:pt idx="6">
                  <c:v>90.44</c:v>
                </c:pt>
                <c:pt idx="7">
                  <c:v>90.34</c:v>
                </c:pt>
              </c:numCache>
            </c:numRef>
          </c:val>
          <c:smooth val="0"/>
          <c:extLst>
            <c:ext xmlns:c16="http://schemas.microsoft.com/office/drawing/2014/chart" uri="{C3380CC4-5D6E-409C-BE32-E72D297353CC}">
              <c16:uniqueId val="{00000003-C4CB-4AF6-9051-1A90254D851E}"/>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75</c:v>
                </c:pt>
                <c:pt idx="1">
                  <c:v>75.3</c:v>
                </c:pt>
                <c:pt idx="2">
                  <c:v>75.400000000000006</c:v>
                </c:pt>
                <c:pt idx="3">
                  <c:v>75.8</c:v>
                </c:pt>
                <c:pt idx="4">
                  <c:v>76.3</c:v>
                </c:pt>
                <c:pt idx="5">
                  <c:v>76.8</c:v>
                </c:pt>
                <c:pt idx="6">
                  <c:v>77.5</c:v>
                </c:pt>
                <c:pt idx="7">
                  <c:v>77.7</c:v>
                </c:pt>
              </c:numCache>
            </c:numRef>
          </c:val>
          <c:smooth val="0"/>
          <c:extLst>
            <c:ext xmlns:c16="http://schemas.microsoft.com/office/drawing/2014/chart" uri="{C3380CC4-5D6E-409C-BE32-E72D297353CC}">
              <c16:uniqueId val="{00000004-C4CB-4AF6-9051-1A90254D851E}"/>
            </c:ext>
          </c:extLst>
        </c:ser>
        <c:dLbls>
          <c:showLegendKey val="0"/>
          <c:showVal val="0"/>
          <c:showCatName val="0"/>
          <c:showSerName val="0"/>
          <c:showPercent val="0"/>
          <c:showBubbleSize val="0"/>
        </c:dLbls>
        <c:marker val="1"/>
        <c:smooth val="0"/>
        <c:axId val="145832400"/>
        <c:axId val="145832792"/>
      </c:lineChart>
      <c:catAx>
        <c:axId val="145832400"/>
        <c:scaling>
          <c:orientation val="minMax"/>
        </c:scaling>
        <c:delete val="0"/>
        <c:axPos val="b"/>
        <c:numFmt formatCode="General" sourceLinked="1"/>
        <c:majorTickMark val="none"/>
        <c:minorTickMark val="none"/>
        <c:tickLblPos val="nextTo"/>
        <c:crossAx val="145832792"/>
        <c:crosses val="autoZero"/>
        <c:auto val="1"/>
        <c:lblAlgn val="ctr"/>
        <c:lblOffset val="100"/>
        <c:noMultiLvlLbl val="0"/>
      </c:catAx>
      <c:valAx>
        <c:axId val="14583279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8324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21.96</c:v>
                </c:pt>
                <c:pt idx="1">
                  <c:v>11.68</c:v>
                </c:pt>
                <c:pt idx="2">
                  <c:v>24.3</c:v>
                </c:pt>
                <c:pt idx="3">
                  <c:v>12.48</c:v>
                </c:pt>
              </c:numCache>
            </c:numRef>
          </c:val>
          <c:extLst>
            <c:ext xmlns:c16="http://schemas.microsoft.com/office/drawing/2014/chart" uri="{C3380CC4-5D6E-409C-BE32-E72D297353CC}">
              <c16:uniqueId val="{00000000-1DB6-4605-9263-312962C60D7F}"/>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24.06</c:v>
                </c:pt>
                <c:pt idx="1">
                  <c:v>15.17</c:v>
                </c:pt>
                <c:pt idx="2">
                  <c:v>30.02</c:v>
                </c:pt>
                <c:pt idx="3">
                  <c:v>16.29</c:v>
                </c:pt>
              </c:numCache>
            </c:numRef>
          </c:val>
          <c:extLst>
            <c:ext xmlns:c16="http://schemas.microsoft.com/office/drawing/2014/chart" uri="{C3380CC4-5D6E-409C-BE32-E72D297353CC}">
              <c16:uniqueId val="{00000001-1DB6-4605-9263-312962C60D7F}"/>
            </c:ext>
          </c:extLst>
        </c:ser>
        <c:dLbls>
          <c:showLegendKey val="0"/>
          <c:showVal val="0"/>
          <c:showCatName val="0"/>
          <c:showSerName val="0"/>
          <c:showPercent val="0"/>
          <c:showBubbleSize val="0"/>
        </c:dLbls>
        <c:gapWidth val="150"/>
        <c:axId val="145424056"/>
        <c:axId val="254721264"/>
      </c:barChart>
      <c:catAx>
        <c:axId val="145424056"/>
        <c:scaling>
          <c:orientation val="minMax"/>
        </c:scaling>
        <c:delete val="0"/>
        <c:axPos val="b"/>
        <c:numFmt formatCode="General" sourceLinked="1"/>
        <c:majorTickMark val="none"/>
        <c:minorTickMark val="none"/>
        <c:tickLblPos val="nextTo"/>
        <c:crossAx val="254721264"/>
        <c:crosses val="autoZero"/>
        <c:auto val="1"/>
        <c:lblAlgn val="ctr"/>
        <c:lblOffset val="100"/>
        <c:noMultiLvlLbl val="0"/>
      </c:catAx>
      <c:valAx>
        <c:axId val="25472126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424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29.35</c:v>
                </c:pt>
                <c:pt idx="1">
                  <c:v>43</c:v>
                </c:pt>
                <c:pt idx="2">
                  <c:v>27.46</c:v>
                </c:pt>
                <c:pt idx="3">
                  <c:v>41.42</c:v>
                </c:pt>
              </c:numCache>
            </c:numRef>
          </c:val>
          <c:extLst>
            <c:ext xmlns:c16="http://schemas.microsoft.com/office/drawing/2014/chart" uri="{C3380CC4-5D6E-409C-BE32-E72D297353CC}">
              <c16:uniqueId val="{00000000-8B74-4F36-87C9-F6B65ACA4347}"/>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40.200000000000003</c:v>
                </c:pt>
                <c:pt idx="1">
                  <c:v>51.87</c:v>
                </c:pt>
                <c:pt idx="2">
                  <c:v>34.450000000000003</c:v>
                </c:pt>
                <c:pt idx="3">
                  <c:v>52.11</c:v>
                </c:pt>
              </c:numCache>
            </c:numRef>
          </c:val>
          <c:extLst>
            <c:ext xmlns:c16="http://schemas.microsoft.com/office/drawing/2014/chart" uri="{C3380CC4-5D6E-409C-BE32-E72D297353CC}">
              <c16:uniqueId val="{00000001-8B74-4F36-87C9-F6B65ACA4347}"/>
            </c:ext>
          </c:extLst>
        </c:ser>
        <c:dLbls>
          <c:showLegendKey val="0"/>
          <c:showVal val="0"/>
          <c:showCatName val="0"/>
          <c:showSerName val="0"/>
          <c:showPercent val="0"/>
          <c:showBubbleSize val="0"/>
        </c:dLbls>
        <c:gapWidth val="150"/>
        <c:axId val="254722048"/>
        <c:axId val="254722440"/>
      </c:barChart>
      <c:catAx>
        <c:axId val="254722048"/>
        <c:scaling>
          <c:orientation val="minMax"/>
        </c:scaling>
        <c:delete val="0"/>
        <c:axPos val="b"/>
        <c:numFmt formatCode="General" sourceLinked="1"/>
        <c:majorTickMark val="none"/>
        <c:minorTickMark val="none"/>
        <c:tickLblPos val="nextTo"/>
        <c:crossAx val="254722440"/>
        <c:crosses val="autoZero"/>
        <c:auto val="1"/>
        <c:lblAlgn val="ctr"/>
        <c:lblOffset val="100"/>
        <c:noMultiLvlLbl val="0"/>
      </c:catAx>
      <c:valAx>
        <c:axId val="25472244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547220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lineChart>
        <c:grouping val="standard"/>
        <c:varyColors val="0"/>
        <c:ser>
          <c:idx val="0"/>
          <c:order val="0"/>
          <c:tx>
            <c:strRef>
              <c:f>Sheet1!$B$1</c:f>
              <c:strCache>
                <c:ptCount val="1"/>
                <c:pt idx="0">
                  <c:v>Disabled (national)</c:v>
                </c:pt>
              </c:strCache>
            </c:strRef>
          </c:tx>
          <c:trendline>
            <c:trendlineType val="linear"/>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26.1</c:v>
                </c:pt>
                <c:pt idx="1">
                  <c:v>29</c:v>
                </c:pt>
                <c:pt idx="2">
                  <c:v>20.5</c:v>
                </c:pt>
                <c:pt idx="3">
                  <c:v>39.5</c:v>
                </c:pt>
                <c:pt idx="4">
                  <c:v>36</c:v>
                </c:pt>
                <c:pt idx="5">
                  <c:v>27.96</c:v>
                </c:pt>
                <c:pt idx="6">
                  <c:v>33.9</c:v>
                </c:pt>
                <c:pt idx="7">
                  <c:v>40.200000000000003</c:v>
                </c:pt>
              </c:numCache>
            </c:numRef>
          </c:val>
          <c:smooth val="0"/>
          <c:extLst>
            <c:ext xmlns:c16="http://schemas.microsoft.com/office/drawing/2014/chart" uri="{C3380CC4-5D6E-409C-BE32-E72D297353CC}">
              <c16:uniqueId val="{00000001-A0BF-4E2F-9090-22A1ADB9D50F}"/>
            </c:ext>
          </c:extLst>
        </c:ser>
        <c:ser>
          <c:idx val="1"/>
          <c:order val="1"/>
          <c:tx>
            <c:strRef>
              <c:f>Sheet1!$C$1</c:f>
              <c:strCache>
                <c:ptCount val="1"/>
                <c:pt idx="0">
                  <c:v>Non-disabled (national)</c:v>
                </c:pt>
              </c:strCache>
            </c:strRef>
          </c:tx>
          <c:trendline>
            <c:trendlineType val="linear"/>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45.4</c:v>
                </c:pt>
                <c:pt idx="1">
                  <c:v>44.6</c:v>
                </c:pt>
                <c:pt idx="2">
                  <c:v>51.2</c:v>
                </c:pt>
                <c:pt idx="3">
                  <c:v>51.2</c:v>
                </c:pt>
                <c:pt idx="4">
                  <c:v>53.1</c:v>
                </c:pt>
                <c:pt idx="5">
                  <c:v>40.729999999999997</c:v>
                </c:pt>
                <c:pt idx="6">
                  <c:v>55.62</c:v>
                </c:pt>
                <c:pt idx="7">
                  <c:v>51.87</c:v>
                </c:pt>
              </c:numCache>
            </c:numRef>
          </c:val>
          <c:smooth val="0"/>
          <c:extLst>
            <c:ext xmlns:c16="http://schemas.microsoft.com/office/drawing/2014/chart" uri="{C3380CC4-5D6E-409C-BE32-E72D297353CC}">
              <c16:uniqueId val="{00000003-A0BF-4E2F-9090-22A1ADB9D50F}"/>
            </c:ext>
          </c:extLst>
        </c:ser>
        <c:ser>
          <c:idx val="2"/>
          <c:order val="2"/>
          <c:tx>
            <c:strRef>
              <c:f>Sheet1!$D$1</c:f>
              <c:strCache>
                <c:ptCount val="1"/>
                <c:pt idx="0">
                  <c:v>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20.399999999999999</c:v>
                </c:pt>
                <c:pt idx="1">
                  <c:v>21.6</c:v>
                </c:pt>
                <c:pt idx="2">
                  <c:v>22.8</c:v>
                </c:pt>
                <c:pt idx="3">
                  <c:v>27.1</c:v>
                </c:pt>
                <c:pt idx="4">
                  <c:v>27.8</c:v>
                </c:pt>
                <c:pt idx="5">
                  <c:v>28</c:v>
                </c:pt>
                <c:pt idx="6">
                  <c:v>29.7</c:v>
                </c:pt>
                <c:pt idx="7">
                  <c:v>29.35</c:v>
                </c:pt>
              </c:numCache>
            </c:numRef>
          </c:val>
          <c:smooth val="0"/>
          <c:extLst>
            <c:ext xmlns:c16="http://schemas.microsoft.com/office/drawing/2014/chart" uri="{C3380CC4-5D6E-409C-BE32-E72D297353CC}">
              <c16:uniqueId val="{00000004-A0BF-4E2F-9090-22A1ADB9D50F}"/>
            </c:ext>
          </c:extLst>
        </c:ser>
        <c:ser>
          <c:idx val="3"/>
          <c:order val="3"/>
          <c:tx>
            <c:strRef>
              <c:f>Sheet1!$E$1</c:f>
              <c:strCache>
                <c:ptCount val="1"/>
                <c:pt idx="0">
                  <c:v>Non-disabled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33.1</c:v>
                </c:pt>
                <c:pt idx="1">
                  <c:v>35.4</c:v>
                </c:pt>
                <c:pt idx="2">
                  <c:v>37</c:v>
                </c:pt>
                <c:pt idx="3">
                  <c:v>36.9</c:v>
                </c:pt>
                <c:pt idx="4">
                  <c:v>39.299999999999997</c:v>
                </c:pt>
                <c:pt idx="5">
                  <c:v>40.700000000000003</c:v>
                </c:pt>
                <c:pt idx="6">
                  <c:v>42.6</c:v>
                </c:pt>
                <c:pt idx="7">
                  <c:v>43</c:v>
                </c:pt>
              </c:numCache>
            </c:numRef>
          </c:val>
          <c:smooth val="0"/>
          <c:extLst>
            <c:ext xmlns:c16="http://schemas.microsoft.com/office/drawing/2014/chart" uri="{C3380CC4-5D6E-409C-BE32-E72D297353CC}">
              <c16:uniqueId val="{00000005-A0BF-4E2F-9090-22A1ADB9D50F}"/>
            </c:ext>
          </c:extLst>
        </c:ser>
        <c:dLbls>
          <c:showLegendKey val="0"/>
          <c:showVal val="0"/>
          <c:showCatName val="0"/>
          <c:showSerName val="0"/>
          <c:showPercent val="0"/>
          <c:showBubbleSize val="0"/>
        </c:dLbls>
        <c:marker val="1"/>
        <c:smooth val="0"/>
        <c:axId val="254723616"/>
        <c:axId val="254724008"/>
      </c:lineChart>
      <c:catAx>
        <c:axId val="254723616"/>
        <c:scaling>
          <c:orientation val="minMax"/>
        </c:scaling>
        <c:delete val="0"/>
        <c:axPos val="b"/>
        <c:numFmt formatCode="General" sourceLinked="1"/>
        <c:majorTickMark val="none"/>
        <c:minorTickMark val="none"/>
        <c:tickLblPos val="nextTo"/>
        <c:crossAx val="254724008"/>
        <c:crosses val="autoZero"/>
        <c:auto val="1"/>
        <c:lblAlgn val="ctr"/>
        <c:lblOffset val="100"/>
        <c:noMultiLvlLbl val="0"/>
      </c:catAx>
      <c:valAx>
        <c:axId val="25472400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547236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25.58</c:v>
                </c:pt>
                <c:pt idx="1">
                  <c:v>8.3000000000000007</c:v>
                </c:pt>
                <c:pt idx="2">
                  <c:v>23.73</c:v>
                </c:pt>
                <c:pt idx="3">
                  <c:v>15.96</c:v>
                </c:pt>
                <c:pt idx="4">
                  <c:v>14.54</c:v>
                </c:pt>
                <c:pt idx="5">
                  <c:v>6.98</c:v>
                </c:pt>
              </c:numCache>
            </c:numRef>
          </c:val>
          <c:extLst>
            <c:ext xmlns:c16="http://schemas.microsoft.com/office/drawing/2014/chart" uri="{C3380CC4-5D6E-409C-BE32-E72D297353CC}">
              <c16:uniqueId val="{00000000-4E6F-49FF-84B5-EEC79C2A20C4}"/>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31.96</c:v>
                </c:pt>
                <c:pt idx="1">
                  <c:v>6.88</c:v>
                </c:pt>
                <c:pt idx="2">
                  <c:v>24.27</c:v>
                </c:pt>
                <c:pt idx="3">
                  <c:v>13.93</c:v>
                </c:pt>
                <c:pt idx="4">
                  <c:v>15.03</c:v>
                </c:pt>
                <c:pt idx="5">
                  <c:v>4.47</c:v>
                </c:pt>
              </c:numCache>
            </c:numRef>
          </c:val>
          <c:extLst>
            <c:ext xmlns:c16="http://schemas.microsoft.com/office/drawing/2014/chart" uri="{C3380CC4-5D6E-409C-BE32-E72D297353CC}">
              <c16:uniqueId val="{00000001-4E6F-49FF-84B5-EEC79C2A20C4}"/>
            </c:ext>
          </c:extLst>
        </c:ser>
        <c:dLbls>
          <c:showLegendKey val="0"/>
          <c:showVal val="0"/>
          <c:showCatName val="0"/>
          <c:showSerName val="0"/>
          <c:showPercent val="0"/>
          <c:showBubbleSize val="0"/>
        </c:dLbls>
        <c:gapWidth val="150"/>
        <c:axId val="254784984"/>
        <c:axId val="254785376"/>
      </c:barChart>
      <c:catAx>
        <c:axId val="254784984"/>
        <c:scaling>
          <c:orientation val="minMax"/>
        </c:scaling>
        <c:delete val="0"/>
        <c:axPos val="b"/>
        <c:numFmt formatCode="General" sourceLinked="1"/>
        <c:majorTickMark val="none"/>
        <c:minorTickMark val="none"/>
        <c:tickLblPos val="nextTo"/>
        <c:crossAx val="254785376"/>
        <c:crosses val="autoZero"/>
        <c:auto val="1"/>
        <c:lblAlgn val="ctr"/>
        <c:lblOffset val="100"/>
        <c:noMultiLvlLbl val="0"/>
      </c:catAx>
      <c:valAx>
        <c:axId val="25478537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54784984"/>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20.8</c:v>
                </c:pt>
                <c:pt idx="1">
                  <c:v>27.44</c:v>
                </c:pt>
                <c:pt idx="2">
                  <c:v>36.08</c:v>
                </c:pt>
                <c:pt idx="3">
                  <c:v>30.16</c:v>
                </c:pt>
                <c:pt idx="4">
                  <c:v>30.22</c:v>
                </c:pt>
                <c:pt idx="5">
                  <c:v>21.68</c:v>
                </c:pt>
                <c:pt idx="6">
                  <c:v>19.899999999999999</c:v>
                </c:pt>
              </c:numCache>
            </c:numRef>
          </c:val>
          <c:extLst>
            <c:ext xmlns:c16="http://schemas.microsoft.com/office/drawing/2014/chart" uri="{C3380CC4-5D6E-409C-BE32-E72D297353CC}">
              <c16:uniqueId val="{00000000-16B8-4D6A-9B96-4B412304B656}"/>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18.36</c:v>
                </c:pt>
                <c:pt idx="1">
                  <c:v>26.79</c:v>
                </c:pt>
                <c:pt idx="2">
                  <c:v>40.32</c:v>
                </c:pt>
                <c:pt idx="3">
                  <c:v>31.71</c:v>
                </c:pt>
                <c:pt idx="4">
                  <c:v>34.409999999999997</c:v>
                </c:pt>
                <c:pt idx="5">
                  <c:v>19.47</c:v>
                </c:pt>
                <c:pt idx="6">
                  <c:v>17.260000000000002</c:v>
                </c:pt>
              </c:numCache>
            </c:numRef>
          </c:val>
          <c:extLst>
            <c:ext xmlns:c16="http://schemas.microsoft.com/office/drawing/2014/chart" uri="{C3380CC4-5D6E-409C-BE32-E72D297353CC}">
              <c16:uniqueId val="{00000001-16B8-4D6A-9B96-4B412304B656}"/>
            </c:ext>
          </c:extLst>
        </c:ser>
        <c:dLbls>
          <c:showLegendKey val="0"/>
          <c:showVal val="0"/>
          <c:showCatName val="0"/>
          <c:showSerName val="0"/>
          <c:showPercent val="0"/>
          <c:showBubbleSize val="0"/>
        </c:dLbls>
        <c:gapWidth val="150"/>
        <c:axId val="254786552"/>
        <c:axId val="254786944"/>
      </c:barChart>
      <c:catAx>
        <c:axId val="254786552"/>
        <c:scaling>
          <c:orientation val="minMax"/>
        </c:scaling>
        <c:delete val="0"/>
        <c:axPos val="b"/>
        <c:numFmt formatCode="General" sourceLinked="1"/>
        <c:majorTickMark val="none"/>
        <c:minorTickMark val="none"/>
        <c:tickLblPos val="nextTo"/>
        <c:crossAx val="254786944"/>
        <c:crosses val="autoZero"/>
        <c:auto val="1"/>
        <c:lblAlgn val="ctr"/>
        <c:lblOffset val="100"/>
        <c:noMultiLvlLbl val="0"/>
      </c:catAx>
      <c:valAx>
        <c:axId val="25478694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54786552"/>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38.43</c:v>
                </c:pt>
                <c:pt idx="1">
                  <c:v>21.93</c:v>
                </c:pt>
                <c:pt idx="2">
                  <c:v>20.09</c:v>
                </c:pt>
                <c:pt idx="3">
                  <c:v>14.39</c:v>
                </c:pt>
              </c:numCache>
            </c:numRef>
          </c:val>
          <c:extLst>
            <c:ext xmlns:c16="http://schemas.microsoft.com/office/drawing/2014/chart" uri="{C3380CC4-5D6E-409C-BE32-E72D297353CC}">
              <c16:uniqueId val="{00000000-CC5F-43D0-8676-DD99A52C78E1}"/>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43.83</c:v>
                </c:pt>
                <c:pt idx="1">
                  <c:v>18.54</c:v>
                </c:pt>
                <c:pt idx="2">
                  <c:v>18.440000000000001</c:v>
                </c:pt>
                <c:pt idx="3">
                  <c:v>17.420000000000002</c:v>
                </c:pt>
              </c:numCache>
            </c:numRef>
          </c:val>
          <c:extLst>
            <c:ext xmlns:c16="http://schemas.microsoft.com/office/drawing/2014/chart" uri="{C3380CC4-5D6E-409C-BE32-E72D297353CC}">
              <c16:uniqueId val="{00000001-CC5F-43D0-8676-DD99A52C78E1}"/>
            </c:ext>
          </c:extLst>
        </c:ser>
        <c:dLbls>
          <c:showLegendKey val="0"/>
          <c:showVal val="0"/>
          <c:showCatName val="0"/>
          <c:showSerName val="0"/>
          <c:showPercent val="0"/>
          <c:showBubbleSize val="0"/>
        </c:dLbls>
        <c:gapWidth val="150"/>
        <c:axId val="254788120"/>
        <c:axId val="145572152"/>
      </c:barChart>
      <c:catAx>
        <c:axId val="254788120"/>
        <c:scaling>
          <c:orientation val="minMax"/>
        </c:scaling>
        <c:delete val="0"/>
        <c:axPos val="b"/>
        <c:numFmt formatCode="General" sourceLinked="1"/>
        <c:majorTickMark val="none"/>
        <c:minorTickMark val="none"/>
        <c:tickLblPos val="nextTo"/>
        <c:crossAx val="145572152"/>
        <c:crosses val="autoZero"/>
        <c:auto val="1"/>
        <c:lblAlgn val="ctr"/>
        <c:lblOffset val="100"/>
        <c:noMultiLvlLbl val="0"/>
      </c:catAx>
      <c:valAx>
        <c:axId val="14557215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547881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0.0</c:formatCode>
                <c:ptCount val="6"/>
                <c:pt idx="0">
                  <c:v>41.3</c:v>
                </c:pt>
                <c:pt idx="1">
                  <c:v>39.4</c:v>
                </c:pt>
                <c:pt idx="2">
                  <c:v>46.2</c:v>
                </c:pt>
                <c:pt idx="3">
                  <c:v>47.2</c:v>
                </c:pt>
                <c:pt idx="4">
                  <c:v>43.07</c:v>
                </c:pt>
                <c:pt idx="5">
                  <c:v>43.83</c:v>
                </c:pt>
              </c:numCache>
            </c:numRef>
          </c:val>
          <c:smooth val="0"/>
          <c:extLst>
            <c:ext xmlns:c16="http://schemas.microsoft.com/office/drawing/2014/chart" uri="{C3380CC4-5D6E-409C-BE32-E72D297353CC}">
              <c16:uniqueId val="{00000000-EC48-4338-A6C6-35D1B280E1F9}"/>
            </c:ext>
          </c:extLst>
        </c:ser>
        <c:ser>
          <c:idx val="1"/>
          <c:order val="1"/>
          <c:tx>
            <c:strRef>
              <c:f>Sheet1!$C$1</c:f>
              <c:strCache>
                <c:ptCount val="1"/>
                <c:pt idx="0">
                  <c:v>Non-disabled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0.0</c:formatCode>
                <c:ptCount val="6"/>
                <c:pt idx="0">
                  <c:v>17.8</c:v>
                </c:pt>
                <c:pt idx="1">
                  <c:v>18</c:v>
                </c:pt>
                <c:pt idx="2">
                  <c:v>19.8</c:v>
                </c:pt>
                <c:pt idx="3">
                  <c:v>20.2</c:v>
                </c:pt>
                <c:pt idx="4">
                  <c:v>19.71</c:v>
                </c:pt>
                <c:pt idx="5">
                  <c:v>18.54</c:v>
                </c:pt>
              </c:numCache>
            </c:numRef>
          </c:val>
          <c:smooth val="0"/>
          <c:extLst>
            <c:ext xmlns:c16="http://schemas.microsoft.com/office/drawing/2014/chart" uri="{C3380CC4-5D6E-409C-BE32-E72D297353CC}">
              <c16:uniqueId val="{00000001-EC48-4338-A6C6-35D1B280E1F9}"/>
            </c:ext>
          </c:extLst>
        </c:ser>
        <c:ser>
          <c:idx val="2"/>
          <c:order val="2"/>
          <c:tx>
            <c:strRef>
              <c:f>Sheet1!$D$1</c:f>
              <c:strCache>
                <c:ptCount val="1"/>
                <c:pt idx="0">
                  <c:v>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0.0</c:formatCode>
                <c:ptCount val="6"/>
                <c:pt idx="0">
                  <c:v>22</c:v>
                </c:pt>
                <c:pt idx="1">
                  <c:v>21.9</c:v>
                </c:pt>
                <c:pt idx="2">
                  <c:v>17.5</c:v>
                </c:pt>
                <c:pt idx="3">
                  <c:v>18.8</c:v>
                </c:pt>
                <c:pt idx="4">
                  <c:v>20.32</c:v>
                </c:pt>
                <c:pt idx="5">
                  <c:v>18.440000000000001</c:v>
                </c:pt>
              </c:numCache>
            </c:numRef>
          </c:val>
          <c:smooth val="0"/>
          <c:extLst>
            <c:ext xmlns:c16="http://schemas.microsoft.com/office/drawing/2014/chart" uri="{C3380CC4-5D6E-409C-BE32-E72D297353CC}">
              <c16:uniqueId val="{00000002-EC48-4338-A6C6-35D1B280E1F9}"/>
            </c:ext>
          </c:extLst>
        </c:ser>
        <c:ser>
          <c:idx val="3"/>
          <c:order val="3"/>
          <c:tx>
            <c:strRef>
              <c:f>Sheet1!$E$1</c:f>
              <c:strCache>
                <c:ptCount val="1"/>
                <c:pt idx="0">
                  <c:v>Non-disabled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0.0</c:formatCode>
                <c:ptCount val="6"/>
                <c:pt idx="0">
                  <c:v>22.4</c:v>
                </c:pt>
                <c:pt idx="1">
                  <c:v>23.1</c:v>
                </c:pt>
                <c:pt idx="2">
                  <c:v>16.399999999999999</c:v>
                </c:pt>
                <c:pt idx="3">
                  <c:v>17.600000000000001</c:v>
                </c:pt>
                <c:pt idx="4">
                  <c:v>18.46</c:v>
                </c:pt>
                <c:pt idx="5">
                  <c:v>17.420000000000002</c:v>
                </c:pt>
              </c:numCache>
            </c:numRef>
          </c:val>
          <c:smooth val="0"/>
          <c:extLst>
            <c:ext xmlns:c16="http://schemas.microsoft.com/office/drawing/2014/chart" uri="{C3380CC4-5D6E-409C-BE32-E72D297353CC}">
              <c16:uniqueId val="{00000003-EC48-4338-A6C6-35D1B280E1F9}"/>
            </c:ext>
          </c:extLst>
        </c:ser>
        <c:ser>
          <c:idx val="4"/>
          <c:order val="4"/>
          <c:tx>
            <c:strRef>
              <c:f>Sheet1!$F$1</c:f>
              <c:strCache>
                <c:ptCount val="1"/>
                <c:pt idx="0">
                  <c:v>EU average (all 16+)</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Sheet1!$F$2:$F$7</c:f>
              <c:numCache>
                <c:formatCode>0.0</c:formatCode>
                <c:ptCount val="6"/>
                <c:pt idx="0">
                  <c:v>22.7</c:v>
                </c:pt>
                <c:pt idx="1">
                  <c:v>23.6</c:v>
                </c:pt>
                <c:pt idx="2">
                  <c:v>24.1</c:v>
                </c:pt>
                <c:pt idx="3">
                  <c:v>23.8</c:v>
                </c:pt>
                <c:pt idx="4">
                  <c:v>23.8</c:v>
                </c:pt>
                <c:pt idx="5">
                  <c:v>23.17</c:v>
                </c:pt>
              </c:numCache>
            </c:numRef>
          </c:val>
          <c:smooth val="0"/>
          <c:extLst>
            <c:ext xmlns:c16="http://schemas.microsoft.com/office/drawing/2014/chart" uri="{C3380CC4-5D6E-409C-BE32-E72D297353CC}">
              <c16:uniqueId val="{00000004-EC48-4338-A6C6-35D1B280E1F9}"/>
            </c:ext>
          </c:extLst>
        </c:ser>
        <c:dLbls>
          <c:showLegendKey val="0"/>
          <c:showVal val="0"/>
          <c:showCatName val="0"/>
          <c:showSerName val="0"/>
          <c:showPercent val="0"/>
          <c:showBubbleSize val="0"/>
        </c:dLbls>
        <c:marker val="1"/>
        <c:smooth val="0"/>
        <c:axId val="145573328"/>
        <c:axId val="145573720"/>
      </c:lineChart>
      <c:catAx>
        <c:axId val="145573328"/>
        <c:scaling>
          <c:orientation val="minMax"/>
        </c:scaling>
        <c:delete val="0"/>
        <c:axPos val="b"/>
        <c:numFmt formatCode="General" sourceLinked="1"/>
        <c:majorTickMark val="none"/>
        <c:minorTickMark val="none"/>
        <c:tickLblPos val="nextTo"/>
        <c:crossAx val="145573720"/>
        <c:crosses val="autoZero"/>
        <c:auto val="1"/>
        <c:lblAlgn val="ctr"/>
        <c:lblOffset val="100"/>
        <c:noMultiLvlLbl val="0"/>
      </c:catAx>
      <c:valAx>
        <c:axId val="14557372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573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 of Apprenticeship</a:t>
            </a:r>
            <a:r>
              <a:rPr lang="en-GB" baseline="0"/>
              <a:t> Programme Starts with </a:t>
            </a:r>
            <a:r>
              <a:rPr lang="en-GB"/>
              <a:t>Learning Difficulty or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Sheet1!$A$2</c:f>
              <c:strCache>
                <c:ptCount val="1"/>
                <c:pt idx="0">
                  <c:v>Learning Difficulty/ Disability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Sheet1!$B$1:$F$1</c:f>
              <c:strCache>
                <c:ptCount val="5"/>
                <c:pt idx="0">
                  <c:v>2012/13</c:v>
                </c:pt>
                <c:pt idx="1">
                  <c:v>2013/14</c:v>
                </c:pt>
                <c:pt idx="2">
                  <c:v>2014/15</c:v>
                </c:pt>
                <c:pt idx="3">
                  <c:v>2015/16</c:v>
                </c:pt>
                <c:pt idx="4">
                  <c:v>2016/17</c:v>
                </c:pt>
              </c:strCache>
            </c:strRef>
          </c:cat>
          <c:val>
            <c:numRef>
              <c:f>Sheet1!$B$2:$F$2</c:f>
              <c:numCache>
                <c:formatCode>0.00%</c:formatCode>
                <c:ptCount val="5"/>
                <c:pt idx="0">
                  <c:v>8.4000000000000005E-2</c:v>
                </c:pt>
                <c:pt idx="1">
                  <c:v>8.6999999999999994E-2</c:v>
                </c:pt>
                <c:pt idx="2">
                  <c:v>8.7999999999999995E-2</c:v>
                </c:pt>
                <c:pt idx="3">
                  <c:v>9.9000000000000005E-2</c:v>
                </c:pt>
                <c:pt idx="4">
                  <c:v>0.10299999999999999</c:v>
                </c:pt>
              </c:numCache>
            </c:numRef>
          </c:val>
          <c:smooth val="0"/>
          <c:extLst>
            <c:ext xmlns:c16="http://schemas.microsoft.com/office/drawing/2014/chart" uri="{C3380CC4-5D6E-409C-BE32-E72D297353CC}">
              <c16:uniqueId val="{00000000-ADEE-41A3-9772-9FCF918A1526}"/>
            </c:ext>
          </c:extLst>
        </c:ser>
        <c:dLbls>
          <c:showLegendKey val="0"/>
          <c:showVal val="0"/>
          <c:showCatName val="0"/>
          <c:showSerName val="0"/>
          <c:showPercent val="0"/>
          <c:showBubbleSize val="0"/>
        </c:dLbls>
        <c:marker val="1"/>
        <c:smooth val="0"/>
        <c:axId val="145575288"/>
        <c:axId val="145575680"/>
      </c:lineChart>
      <c:catAx>
        <c:axId val="145575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5575680"/>
        <c:crosses val="autoZero"/>
        <c:auto val="1"/>
        <c:lblAlgn val="ctr"/>
        <c:lblOffset val="100"/>
        <c:noMultiLvlLbl val="0"/>
      </c:catAx>
      <c:valAx>
        <c:axId val="145575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5575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Sheet1!$B$2:$B$9</c:f>
              <c:numCache>
                <c:formatCode>0.0</c:formatCode>
                <c:ptCount val="8"/>
                <c:pt idx="0">
                  <c:v>73.12</c:v>
                </c:pt>
                <c:pt idx="1">
                  <c:v>55.16</c:v>
                </c:pt>
                <c:pt idx="2">
                  <c:v>27.59</c:v>
                </c:pt>
                <c:pt idx="3">
                  <c:v>44.65</c:v>
                </c:pt>
                <c:pt idx="4">
                  <c:v>50.59</c:v>
                </c:pt>
                <c:pt idx="5">
                  <c:v>66.86</c:v>
                </c:pt>
                <c:pt idx="6">
                  <c:v>79.39</c:v>
                </c:pt>
                <c:pt idx="7">
                  <c:v>47.42</c:v>
                </c:pt>
              </c:numCache>
            </c:numRef>
          </c:val>
          <c:extLst>
            <c:ext xmlns:c16="http://schemas.microsoft.com/office/drawing/2014/chart" uri="{C3380CC4-5D6E-409C-BE32-E72D297353CC}">
              <c16:uniqueId val="{00000000-B79A-4A79-8939-37FFA50084D7}"/>
            </c:ext>
          </c:extLst>
        </c:ser>
        <c:ser>
          <c:idx val="1"/>
          <c:order val="1"/>
          <c:tx>
            <c:strRef>
              <c:f>Sheet1!$C$1</c:f>
              <c:strCache>
                <c:ptCount val="1"/>
                <c:pt idx="0">
                  <c:v>National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Sheet1!$C$2:$C$9</c:f>
              <c:numCache>
                <c:formatCode>0.0</c:formatCode>
                <c:ptCount val="8"/>
                <c:pt idx="0">
                  <c:v>80.36</c:v>
                </c:pt>
                <c:pt idx="1">
                  <c:v>63.78</c:v>
                </c:pt>
                <c:pt idx="2">
                  <c:v>24.82</c:v>
                </c:pt>
                <c:pt idx="3">
                  <c:v>46.61</c:v>
                </c:pt>
                <c:pt idx="4">
                  <c:v>46.94</c:v>
                </c:pt>
                <c:pt idx="5">
                  <c:v>74.56</c:v>
                </c:pt>
                <c:pt idx="6">
                  <c:v>86.06</c:v>
                </c:pt>
                <c:pt idx="7">
                  <c:v>46.8</c:v>
                </c:pt>
              </c:numCache>
            </c:numRef>
          </c:val>
          <c:extLst>
            <c:ext xmlns:c16="http://schemas.microsoft.com/office/drawing/2014/chart" uri="{C3380CC4-5D6E-409C-BE32-E72D297353CC}">
              <c16:uniqueId val="{00000001-B79A-4A79-8939-37FFA50084D7}"/>
            </c:ext>
          </c:extLst>
        </c:ser>
        <c:dLbls>
          <c:showLegendKey val="0"/>
          <c:showVal val="0"/>
          <c:showCatName val="0"/>
          <c:showSerName val="0"/>
          <c:showPercent val="0"/>
          <c:showBubbleSize val="0"/>
        </c:dLbls>
        <c:gapWidth val="150"/>
        <c:axId val="144692432"/>
        <c:axId val="144692824"/>
      </c:barChart>
      <c:catAx>
        <c:axId val="144692432"/>
        <c:scaling>
          <c:orientation val="minMax"/>
        </c:scaling>
        <c:delete val="0"/>
        <c:axPos val="b"/>
        <c:numFmt formatCode="General" sourceLinked="1"/>
        <c:majorTickMark val="none"/>
        <c:minorTickMark val="none"/>
        <c:tickLblPos val="nextTo"/>
        <c:crossAx val="144692824"/>
        <c:crosses val="autoZero"/>
        <c:auto val="1"/>
        <c:lblAlgn val="ctr"/>
        <c:lblOffset val="100"/>
        <c:noMultiLvlLbl val="0"/>
      </c:catAx>
      <c:valAx>
        <c:axId val="1446928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4692432"/>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24.650289999999998</c:v>
                </c:pt>
                <c:pt idx="1">
                  <c:v>55.787278999999998</c:v>
                </c:pt>
                <c:pt idx="2">
                  <c:v>61.676109000000004</c:v>
                </c:pt>
                <c:pt idx="3">
                  <c:v>56.583708000000001</c:v>
                </c:pt>
                <c:pt idx="4">
                  <c:v>33.455477999999999</c:v>
                </c:pt>
              </c:numCache>
            </c:numRef>
          </c:val>
          <c:smooth val="0"/>
          <c:extLst>
            <c:ext xmlns:c16="http://schemas.microsoft.com/office/drawing/2014/chart" uri="{C3380CC4-5D6E-409C-BE32-E72D297353CC}">
              <c16:uniqueId val="{00000000-BEEF-4821-B96F-82A69A55F991}"/>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30.100293000000001</c:v>
                </c:pt>
                <c:pt idx="1">
                  <c:v>75.006152999999998</c:v>
                </c:pt>
                <c:pt idx="2">
                  <c:v>83.757807</c:v>
                </c:pt>
                <c:pt idx="3">
                  <c:v>83.945782999999992</c:v>
                </c:pt>
                <c:pt idx="4">
                  <c:v>59.993842000000001</c:v>
                </c:pt>
              </c:numCache>
            </c:numRef>
          </c:val>
          <c:smooth val="0"/>
          <c:extLst>
            <c:ext xmlns:c16="http://schemas.microsoft.com/office/drawing/2014/chart" uri="{C3380CC4-5D6E-409C-BE32-E72D297353CC}">
              <c16:uniqueId val="{00000001-BEEF-4821-B96F-82A69A55F991}"/>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30.859470999999999</c:v>
                </c:pt>
                <c:pt idx="1">
                  <c:v>54.545016999999994</c:v>
                </c:pt>
                <c:pt idx="2">
                  <c:v>52.101365000000001</c:v>
                </c:pt>
                <c:pt idx="3">
                  <c:v>54.900490999999995</c:v>
                </c:pt>
                <c:pt idx="4">
                  <c:v>34.552779999999998</c:v>
                </c:pt>
              </c:numCache>
            </c:numRef>
          </c:val>
          <c:smooth val="0"/>
          <c:extLst>
            <c:ext xmlns:c16="http://schemas.microsoft.com/office/drawing/2014/chart" uri="{C3380CC4-5D6E-409C-BE32-E72D297353CC}">
              <c16:uniqueId val="{00000002-BEEF-4821-B96F-82A69A55F991}"/>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47.736210999999997</c:v>
                </c:pt>
                <c:pt idx="1">
                  <c:v>81.291643000000008</c:v>
                </c:pt>
                <c:pt idx="2">
                  <c:v>87.376970999999998</c:v>
                </c:pt>
                <c:pt idx="3">
                  <c:v>88.715720000000005</c:v>
                </c:pt>
                <c:pt idx="4">
                  <c:v>69.634005999999999</c:v>
                </c:pt>
              </c:numCache>
            </c:numRef>
          </c:val>
          <c:smooth val="0"/>
          <c:extLst>
            <c:ext xmlns:c16="http://schemas.microsoft.com/office/drawing/2014/chart" uri="{C3380CC4-5D6E-409C-BE32-E72D297353CC}">
              <c16:uniqueId val="{00000003-BEEF-4821-B96F-82A69A55F991}"/>
            </c:ext>
          </c:extLst>
        </c:ser>
        <c:dLbls>
          <c:showLegendKey val="0"/>
          <c:showVal val="0"/>
          <c:showCatName val="0"/>
          <c:showSerName val="0"/>
          <c:showPercent val="0"/>
          <c:showBubbleSize val="0"/>
        </c:dLbls>
        <c:marker val="1"/>
        <c:smooth val="0"/>
        <c:axId val="144694000"/>
        <c:axId val="144694392"/>
      </c:lineChart>
      <c:catAx>
        <c:axId val="144694000"/>
        <c:scaling>
          <c:orientation val="minMax"/>
        </c:scaling>
        <c:delete val="0"/>
        <c:axPos val="b"/>
        <c:numFmt formatCode="General" sourceLinked="1"/>
        <c:majorTickMark val="none"/>
        <c:minorTickMark val="none"/>
        <c:tickLblPos val="nextTo"/>
        <c:crossAx val="144694392"/>
        <c:crosses val="autoZero"/>
        <c:auto val="1"/>
        <c:lblAlgn val="ctr"/>
        <c:lblOffset val="100"/>
        <c:noMultiLvlLbl val="0"/>
      </c:catAx>
      <c:valAx>
        <c:axId val="14469439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4694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46</c:v>
                </c:pt>
                <c:pt idx="1">
                  <c:v>42.6</c:v>
                </c:pt>
                <c:pt idx="2">
                  <c:v>41.4</c:v>
                </c:pt>
                <c:pt idx="3">
                  <c:v>45</c:v>
                </c:pt>
                <c:pt idx="4">
                  <c:v>44.6</c:v>
                </c:pt>
                <c:pt idx="5">
                  <c:v>43.5</c:v>
                </c:pt>
                <c:pt idx="6">
                  <c:v>44.94</c:v>
                </c:pt>
                <c:pt idx="7">
                  <c:v>46.61</c:v>
                </c:pt>
              </c:numCache>
            </c:numRef>
          </c:val>
          <c:smooth val="0"/>
          <c:extLst>
            <c:ext xmlns:c16="http://schemas.microsoft.com/office/drawing/2014/chart" uri="{C3380CC4-5D6E-409C-BE32-E72D297353CC}">
              <c16:uniqueId val="{00000000-214C-4400-9147-1F6A31EF89F0}"/>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48.8</c:v>
                </c:pt>
                <c:pt idx="1">
                  <c:v>46.2</c:v>
                </c:pt>
                <c:pt idx="2">
                  <c:v>42.4</c:v>
                </c:pt>
                <c:pt idx="3">
                  <c:v>48.2</c:v>
                </c:pt>
                <c:pt idx="4">
                  <c:v>47.4</c:v>
                </c:pt>
                <c:pt idx="5">
                  <c:v>45.6</c:v>
                </c:pt>
                <c:pt idx="6">
                  <c:v>50.09</c:v>
                </c:pt>
                <c:pt idx="7">
                  <c:v>46.94</c:v>
                </c:pt>
              </c:numCache>
            </c:numRef>
          </c:val>
          <c:smooth val="0"/>
          <c:extLst>
            <c:ext xmlns:c16="http://schemas.microsoft.com/office/drawing/2014/chart" uri="{C3380CC4-5D6E-409C-BE32-E72D297353CC}">
              <c16:uniqueId val="{00000001-214C-4400-9147-1F6A31EF89F0}"/>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75.8</c:v>
                </c:pt>
                <c:pt idx="1">
                  <c:v>74</c:v>
                </c:pt>
                <c:pt idx="2">
                  <c:v>74</c:v>
                </c:pt>
                <c:pt idx="3">
                  <c:v>74.3</c:v>
                </c:pt>
                <c:pt idx="4">
                  <c:v>75.3</c:v>
                </c:pt>
                <c:pt idx="5">
                  <c:v>74.099999999999994</c:v>
                </c:pt>
                <c:pt idx="6">
                  <c:v>76.680000000000007</c:v>
                </c:pt>
                <c:pt idx="7">
                  <c:v>74.56</c:v>
                </c:pt>
              </c:numCache>
            </c:numRef>
          </c:val>
          <c:smooth val="0"/>
          <c:extLst>
            <c:ext xmlns:c16="http://schemas.microsoft.com/office/drawing/2014/chart" uri="{C3380CC4-5D6E-409C-BE32-E72D297353CC}">
              <c16:uniqueId val="{00000002-214C-4400-9147-1F6A31EF89F0}"/>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87.5</c:v>
                </c:pt>
                <c:pt idx="1">
                  <c:v>84.9</c:v>
                </c:pt>
                <c:pt idx="2">
                  <c:v>85</c:v>
                </c:pt>
                <c:pt idx="3">
                  <c:v>85.2</c:v>
                </c:pt>
                <c:pt idx="4">
                  <c:v>84.9</c:v>
                </c:pt>
                <c:pt idx="5">
                  <c:v>85.4</c:v>
                </c:pt>
                <c:pt idx="6">
                  <c:v>85.36</c:v>
                </c:pt>
                <c:pt idx="7">
                  <c:v>86.06</c:v>
                </c:pt>
              </c:numCache>
            </c:numRef>
          </c:val>
          <c:smooth val="0"/>
          <c:extLst>
            <c:ext xmlns:c16="http://schemas.microsoft.com/office/drawing/2014/chart" uri="{C3380CC4-5D6E-409C-BE32-E72D297353CC}">
              <c16:uniqueId val="{00000003-214C-4400-9147-1F6A31EF89F0}"/>
            </c:ext>
          </c:extLst>
        </c:ser>
        <c:ser>
          <c:idx val="4"/>
          <c:order val="4"/>
          <c:tx>
            <c:strRef>
              <c:f>Sheet1!$F$1</c:f>
              <c:strCache>
                <c:ptCount val="1"/>
                <c:pt idx="0">
                  <c:v>EU average (total)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68.7</c:v>
                </c:pt>
                <c:pt idx="1">
                  <c:v>67.599999999999994</c:v>
                </c:pt>
                <c:pt idx="2">
                  <c:v>67.2</c:v>
                </c:pt>
                <c:pt idx="3">
                  <c:v>67.2</c:v>
                </c:pt>
                <c:pt idx="4">
                  <c:v>67</c:v>
                </c:pt>
                <c:pt idx="5">
                  <c:v>66.900000000000006</c:v>
                </c:pt>
                <c:pt idx="6">
                  <c:v>67.8</c:v>
                </c:pt>
                <c:pt idx="7">
                  <c:v>68.37</c:v>
                </c:pt>
              </c:numCache>
            </c:numRef>
          </c:val>
          <c:smooth val="0"/>
          <c:extLst>
            <c:ext xmlns:c16="http://schemas.microsoft.com/office/drawing/2014/chart" uri="{C3380CC4-5D6E-409C-BE32-E72D297353CC}">
              <c16:uniqueId val="{00000004-214C-4400-9147-1F6A31EF89F0}"/>
            </c:ext>
          </c:extLst>
        </c:ser>
        <c:dLbls>
          <c:showLegendKey val="0"/>
          <c:showVal val="0"/>
          <c:showCatName val="0"/>
          <c:showSerName val="0"/>
          <c:showPercent val="0"/>
          <c:showBubbleSize val="0"/>
        </c:dLbls>
        <c:marker val="1"/>
        <c:smooth val="0"/>
        <c:axId val="145420528"/>
        <c:axId val="145420920"/>
      </c:lineChart>
      <c:catAx>
        <c:axId val="145420528"/>
        <c:scaling>
          <c:orientation val="minMax"/>
        </c:scaling>
        <c:delete val="0"/>
        <c:axPos val="b"/>
        <c:numFmt formatCode="General" sourceLinked="1"/>
        <c:majorTickMark val="none"/>
        <c:minorTickMark val="none"/>
        <c:tickLblPos val="nextTo"/>
        <c:crossAx val="145420920"/>
        <c:crosses val="autoZero"/>
        <c:auto val="1"/>
        <c:lblAlgn val="ctr"/>
        <c:lblOffset val="100"/>
        <c:noMultiLvlLbl val="0"/>
      </c:catAx>
      <c:valAx>
        <c:axId val="14542092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420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19.38</c:v>
                </c:pt>
                <c:pt idx="1">
                  <c:v>21.09</c:v>
                </c:pt>
                <c:pt idx="2">
                  <c:v>11.05</c:v>
                </c:pt>
                <c:pt idx="3">
                  <c:v>10.51</c:v>
                </c:pt>
                <c:pt idx="4">
                  <c:v>20.239999999999998</c:v>
                </c:pt>
                <c:pt idx="5">
                  <c:v>10.76</c:v>
                </c:pt>
              </c:numCache>
            </c:numRef>
          </c:val>
          <c:extLst>
            <c:ext xmlns:c16="http://schemas.microsoft.com/office/drawing/2014/chart" uri="{C3380CC4-5D6E-409C-BE32-E72D297353CC}">
              <c16:uniqueId val="{00000000-C234-4D61-B703-B38098CEB22D}"/>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7.89</c:v>
                </c:pt>
                <c:pt idx="1">
                  <c:v>14.91</c:v>
                </c:pt>
                <c:pt idx="2">
                  <c:v>3.75</c:v>
                </c:pt>
                <c:pt idx="3">
                  <c:v>4.7300000000000004</c:v>
                </c:pt>
                <c:pt idx="4">
                  <c:v>11.23</c:v>
                </c:pt>
                <c:pt idx="5">
                  <c:v>4.29</c:v>
                </c:pt>
              </c:numCache>
            </c:numRef>
          </c:val>
          <c:extLst>
            <c:ext xmlns:c16="http://schemas.microsoft.com/office/drawing/2014/chart" uri="{C3380CC4-5D6E-409C-BE32-E72D297353CC}">
              <c16:uniqueId val="{00000001-C234-4D61-B703-B38098CEB22D}"/>
            </c:ext>
          </c:extLst>
        </c:ser>
        <c:dLbls>
          <c:showLegendKey val="0"/>
          <c:showVal val="0"/>
          <c:showCatName val="0"/>
          <c:showSerName val="0"/>
          <c:showPercent val="0"/>
          <c:showBubbleSize val="0"/>
        </c:dLbls>
        <c:gapWidth val="150"/>
        <c:axId val="145422488"/>
        <c:axId val="145422880"/>
      </c:barChart>
      <c:catAx>
        <c:axId val="145422488"/>
        <c:scaling>
          <c:orientation val="minMax"/>
        </c:scaling>
        <c:delete val="0"/>
        <c:axPos val="b"/>
        <c:numFmt formatCode="General" sourceLinked="1"/>
        <c:majorTickMark val="none"/>
        <c:minorTickMark val="none"/>
        <c:tickLblPos val="nextTo"/>
        <c:crossAx val="145422880"/>
        <c:crosses val="autoZero"/>
        <c:auto val="1"/>
        <c:lblAlgn val="ctr"/>
        <c:lblOffset val="100"/>
        <c:noMultiLvlLbl val="0"/>
      </c:catAx>
      <c:valAx>
        <c:axId val="14542288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4224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29.652888000000001</c:v>
                </c:pt>
                <c:pt idx="1">
                  <c:v>21.692636</c:v>
                </c:pt>
                <c:pt idx="2">
                  <c:v>17.754849</c:v>
                </c:pt>
                <c:pt idx="3">
                  <c:v>18.834569000000002</c:v>
                </c:pt>
                <c:pt idx="4">
                  <c:v>22.330279999999998</c:v>
                </c:pt>
              </c:numCache>
            </c:numRef>
          </c:val>
          <c:smooth val="0"/>
          <c:extLst>
            <c:ext xmlns:c16="http://schemas.microsoft.com/office/drawing/2014/chart" uri="{C3380CC4-5D6E-409C-BE32-E72D297353CC}">
              <c16:uniqueId val="{00000000-FBDC-4517-ADCA-33AADE4C83D4}"/>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23.285374999999998</c:v>
                </c:pt>
                <c:pt idx="1">
                  <c:v>12.416703</c:v>
                </c:pt>
                <c:pt idx="2">
                  <c:v>8.7998320000000003</c:v>
                </c:pt>
                <c:pt idx="3">
                  <c:v>8.2333180000000006</c:v>
                </c:pt>
                <c:pt idx="4">
                  <c:v>10.327094000000001</c:v>
                </c:pt>
              </c:numCache>
            </c:numRef>
          </c:val>
          <c:smooth val="0"/>
          <c:extLst>
            <c:ext xmlns:c16="http://schemas.microsoft.com/office/drawing/2014/chart" uri="{C3380CC4-5D6E-409C-BE32-E72D297353CC}">
              <c16:uniqueId val="{00000001-FBDC-4517-ADCA-33AADE4C83D4}"/>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23.040278999999998</c:v>
                </c:pt>
                <c:pt idx="1">
                  <c:v>14.868519999999998</c:v>
                </c:pt>
                <c:pt idx="2">
                  <c:v>12.279496</c:v>
                </c:pt>
                <c:pt idx="3">
                  <c:v>8.0441789999999997</c:v>
                </c:pt>
                <c:pt idx="4">
                  <c:v>10.947369999999999</c:v>
                </c:pt>
              </c:numCache>
            </c:numRef>
          </c:val>
          <c:smooth val="0"/>
          <c:extLst>
            <c:ext xmlns:c16="http://schemas.microsoft.com/office/drawing/2014/chart" uri="{C3380CC4-5D6E-409C-BE32-E72D297353CC}">
              <c16:uniqueId val="{00000002-FBDC-4517-ADCA-33AADE4C83D4}"/>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10.772532</c:v>
                </c:pt>
                <c:pt idx="1">
                  <c:v>4.7954970000000001</c:v>
                </c:pt>
                <c:pt idx="2">
                  <c:v>3.0923039999999999</c:v>
                </c:pt>
                <c:pt idx="3">
                  <c:v>3.2403229999999996</c:v>
                </c:pt>
                <c:pt idx="4">
                  <c:v>3.4362400000000002</c:v>
                </c:pt>
              </c:numCache>
            </c:numRef>
          </c:val>
          <c:smooth val="0"/>
          <c:extLst>
            <c:ext xmlns:c16="http://schemas.microsoft.com/office/drawing/2014/chart" uri="{C3380CC4-5D6E-409C-BE32-E72D297353CC}">
              <c16:uniqueId val="{00000003-FBDC-4517-ADCA-33AADE4C83D4}"/>
            </c:ext>
          </c:extLst>
        </c:ser>
        <c:dLbls>
          <c:showLegendKey val="0"/>
          <c:showVal val="0"/>
          <c:showCatName val="0"/>
          <c:showSerName val="0"/>
          <c:showPercent val="0"/>
          <c:showBubbleSize val="0"/>
        </c:dLbls>
        <c:marker val="1"/>
        <c:smooth val="0"/>
        <c:axId val="144921504"/>
        <c:axId val="144921896"/>
      </c:lineChart>
      <c:catAx>
        <c:axId val="144921504"/>
        <c:scaling>
          <c:orientation val="minMax"/>
        </c:scaling>
        <c:delete val="0"/>
        <c:axPos val="b"/>
        <c:numFmt formatCode="General" sourceLinked="1"/>
        <c:majorTickMark val="none"/>
        <c:minorTickMark val="none"/>
        <c:tickLblPos val="nextTo"/>
        <c:crossAx val="144921896"/>
        <c:crosses val="autoZero"/>
        <c:auto val="1"/>
        <c:lblAlgn val="ctr"/>
        <c:lblOffset val="100"/>
        <c:noMultiLvlLbl val="0"/>
      </c:catAx>
      <c:valAx>
        <c:axId val="14492189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49215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trendline>
            <c:trendlineType val="poly"/>
            <c:order val="2"/>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6.2</c:v>
                </c:pt>
                <c:pt idx="1">
                  <c:v>4.8</c:v>
                </c:pt>
                <c:pt idx="2">
                  <c:v>6.2</c:v>
                </c:pt>
                <c:pt idx="3">
                  <c:v>8.4</c:v>
                </c:pt>
                <c:pt idx="4">
                  <c:v>8.5</c:v>
                </c:pt>
                <c:pt idx="5">
                  <c:v>9.9</c:v>
                </c:pt>
                <c:pt idx="6">
                  <c:v>8.82</c:v>
                </c:pt>
                <c:pt idx="7">
                  <c:v>7.89</c:v>
                </c:pt>
              </c:numCache>
            </c:numRef>
          </c:val>
          <c:smooth val="0"/>
          <c:extLst>
            <c:ext xmlns:c16="http://schemas.microsoft.com/office/drawing/2014/chart" uri="{C3380CC4-5D6E-409C-BE32-E72D297353CC}">
              <c16:uniqueId val="{00000001-5E2E-4340-934D-91CF3CF92B14}"/>
            </c:ext>
          </c:extLst>
        </c:ser>
        <c:ser>
          <c:idx val="1"/>
          <c:order val="1"/>
          <c:tx>
            <c:strRef>
              <c:f>Sheet1!$C$1</c:f>
              <c:strCache>
                <c:ptCount val="1"/>
                <c:pt idx="0">
                  <c:v>Disabled men</c:v>
                </c:pt>
              </c:strCache>
            </c:strRef>
          </c:tx>
          <c:trendline>
            <c:trendlineType val="poly"/>
            <c:order val="2"/>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8.6999999999999993</c:v>
                </c:pt>
                <c:pt idx="1">
                  <c:v>12.1</c:v>
                </c:pt>
                <c:pt idx="2">
                  <c:v>14.2</c:v>
                </c:pt>
                <c:pt idx="3">
                  <c:v>12</c:v>
                </c:pt>
                <c:pt idx="4">
                  <c:v>12.6</c:v>
                </c:pt>
                <c:pt idx="5">
                  <c:v>15.2</c:v>
                </c:pt>
                <c:pt idx="6">
                  <c:v>11.92</c:v>
                </c:pt>
                <c:pt idx="7">
                  <c:v>14.91</c:v>
                </c:pt>
              </c:numCache>
            </c:numRef>
          </c:val>
          <c:smooth val="0"/>
          <c:extLst>
            <c:ext xmlns:c16="http://schemas.microsoft.com/office/drawing/2014/chart" uri="{C3380CC4-5D6E-409C-BE32-E72D297353CC}">
              <c16:uniqueId val="{00000003-5E2E-4340-934D-91CF3CF92B14}"/>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2.1</c:v>
                </c:pt>
                <c:pt idx="1">
                  <c:v>3.5</c:v>
                </c:pt>
                <c:pt idx="2">
                  <c:v>3.4</c:v>
                </c:pt>
                <c:pt idx="3">
                  <c:v>3.9</c:v>
                </c:pt>
                <c:pt idx="4">
                  <c:v>4.4000000000000004</c:v>
                </c:pt>
                <c:pt idx="5">
                  <c:v>4</c:v>
                </c:pt>
                <c:pt idx="6">
                  <c:v>3.5</c:v>
                </c:pt>
                <c:pt idx="7">
                  <c:v>3.75</c:v>
                </c:pt>
              </c:numCache>
            </c:numRef>
          </c:val>
          <c:smooth val="0"/>
          <c:extLst>
            <c:ext xmlns:c16="http://schemas.microsoft.com/office/drawing/2014/chart" uri="{C3380CC4-5D6E-409C-BE32-E72D297353CC}">
              <c16:uniqueId val="{00000004-5E2E-4340-934D-91CF3CF92B14}"/>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4.2</c:v>
                </c:pt>
                <c:pt idx="1">
                  <c:v>6.7</c:v>
                </c:pt>
                <c:pt idx="2">
                  <c:v>5.8</c:v>
                </c:pt>
                <c:pt idx="3">
                  <c:v>6.1</c:v>
                </c:pt>
                <c:pt idx="4">
                  <c:v>6.2</c:v>
                </c:pt>
                <c:pt idx="5">
                  <c:v>6.7</c:v>
                </c:pt>
                <c:pt idx="6">
                  <c:v>5.62</c:v>
                </c:pt>
                <c:pt idx="7">
                  <c:v>4.7300000000000004</c:v>
                </c:pt>
              </c:numCache>
            </c:numRef>
          </c:val>
          <c:smooth val="0"/>
          <c:extLst>
            <c:ext xmlns:c16="http://schemas.microsoft.com/office/drawing/2014/chart" uri="{C3380CC4-5D6E-409C-BE32-E72D297353CC}">
              <c16:uniqueId val="{00000005-5E2E-4340-934D-91CF3CF92B14}"/>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8.4</c:v>
                </c:pt>
                <c:pt idx="1">
                  <c:v>10.199999999999999</c:v>
                </c:pt>
                <c:pt idx="2">
                  <c:v>10.9</c:v>
                </c:pt>
                <c:pt idx="3">
                  <c:v>11.3</c:v>
                </c:pt>
                <c:pt idx="4">
                  <c:v>12.2</c:v>
                </c:pt>
                <c:pt idx="5">
                  <c:v>12.9</c:v>
                </c:pt>
                <c:pt idx="6">
                  <c:v>12.6</c:v>
                </c:pt>
                <c:pt idx="7">
                  <c:v>12.1</c:v>
                </c:pt>
              </c:numCache>
            </c:numRef>
          </c:val>
          <c:smooth val="0"/>
          <c:extLst>
            <c:ext xmlns:c16="http://schemas.microsoft.com/office/drawing/2014/chart" uri="{C3380CC4-5D6E-409C-BE32-E72D297353CC}">
              <c16:uniqueId val="{00000006-5E2E-4340-934D-91CF3CF92B14}"/>
            </c:ext>
          </c:extLst>
        </c:ser>
        <c:dLbls>
          <c:showLegendKey val="0"/>
          <c:showVal val="0"/>
          <c:showCatName val="0"/>
          <c:showSerName val="0"/>
          <c:showPercent val="0"/>
          <c:showBubbleSize val="0"/>
        </c:dLbls>
        <c:marker val="1"/>
        <c:smooth val="0"/>
        <c:axId val="144923072"/>
        <c:axId val="145801208"/>
      </c:lineChart>
      <c:catAx>
        <c:axId val="144923072"/>
        <c:scaling>
          <c:orientation val="minMax"/>
        </c:scaling>
        <c:delete val="0"/>
        <c:axPos val="b"/>
        <c:numFmt formatCode="General" sourceLinked="1"/>
        <c:majorTickMark val="none"/>
        <c:minorTickMark val="none"/>
        <c:tickLblPos val="nextTo"/>
        <c:crossAx val="145801208"/>
        <c:crosses val="autoZero"/>
        <c:auto val="1"/>
        <c:lblAlgn val="ctr"/>
        <c:lblOffset val="100"/>
        <c:noMultiLvlLbl val="0"/>
      </c:catAx>
      <c:valAx>
        <c:axId val="14580120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49230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55.39</c:v>
                </c:pt>
                <c:pt idx="1">
                  <c:v>64.11</c:v>
                </c:pt>
                <c:pt idx="2">
                  <c:v>75.17</c:v>
                </c:pt>
                <c:pt idx="3">
                  <c:v>88.72</c:v>
                </c:pt>
                <c:pt idx="4">
                  <c:v>59.45</c:v>
                </c:pt>
                <c:pt idx="5">
                  <c:v>81.94</c:v>
                </c:pt>
              </c:numCache>
            </c:numRef>
          </c:val>
          <c:extLst>
            <c:ext xmlns:c16="http://schemas.microsoft.com/office/drawing/2014/chart" uri="{C3380CC4-5D6E-409C-BE32-E72D297353CC}">
              <c16:uniqueId val="{00000000-98F7-4628-8EFE-053ECAC6E6B5}"/>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50.6</c:v>
                </c:pt>
                <c:pt idx="1">
                  <c:v>55.16</c:v>
                </c:pt>
                <c:pt idx="2">
                  <c:v>77.459999999999994</c:v>
                </c:pt>
                <c:pt idx="3">
                  <c:v>90.34</c:v>
                </c:pt>
                <c:pt idx="4">
                  <c:v>52.67</c:v>
                </c:pt>
                <c:pt idx="5">
                  <c:v>83.96</c:v>
                </c:pt>
              </c:numCache>
            </c:numRef>
          </c:val>
          <c:extLst>
            <c:ext xmlns:c16="http://schemas.microsoft.com/office/drawing/2014/chart" uri="{C3380CC4-5D6E-409C-BE32-E72D297353CC}">
              <c16:uniqueId val="{00000001-98F7-4628-8EFE-053ECAC6E6B5}"/>
            </c:ext>
          </c:extLst>
        </c:ser>
        <c:dLbls>
          <c:showLegendKey val="0"/>
          <c:showVal val="0"/>
          <c:showCatName val="0"/>
          <c:showSerName val="0"/>
          <c:showPercent val="0"/>
          <c:showBubbleSize val="0"/>
        </c:dLbls>
        <c:gapWidth val="150"/>
        <c:axId val="145802776"/>
        <c:axId val="145829656"/>
      </c:barChart>
      <c:catAx>
        <c:axId val="145802776"/>
        <c:scaling>
          <c:orientation val="minMax"/>
        </c:scaling>
        <c:delete val="0"/>
        <c:axPos val="b"/>
        <c:numFmt formatCode="General" sourceLinked="1"/>
        <c:majorTickMark val="none"/>
        <c:minorTickMark val="none"/>
        <c:tickLblPos val="nextTo"/>
        <c:crossAx val="145829656"/>
        <c:crosses val="autoZero"/>
        <c:auto val="1"/>
        <c:lblAlgn val="ctr"/>
        <c:lblOffset val="100"/>
        <c:noMultiLvlLbl val="0"/>
      </c:catAx>
      <c:valAx>
        <c:axId val="1458296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80277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35.040939999999999</c:v>
                </c:pt>
                <c:pt idx="1">
                  <c:v>71.241421000000003</c:v>
                </c:pt>
                <c:pt idx="2">
                  <c:v>74.990572</c:v>
                </c:pt>
                <c:pt idx="3">
                  <c:v>69.714049000000003</c:v>
                </c:pt>
                <c:pt idx="4">
                  <c:v>43.074029000000003</c:v>
                </c:pt>
              </c:numCache>
            </c:numRef>
          </c:val>
          <c:smooth val="0"/>
          <c:extLst>
            <c:ext xmlns:c16="http://schemas.microsoft.com/office/drawing/2014/chart" uri="{C3380CC4-5D6E-409C-BE32-E72D297353CC}">
              <c16:uniqueId val="{00000000-A6D8-4053-B079-E099002E6AD8}"/>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39.236708</c:v>
                </c:pt>
                <c:pt idx="1">
                  <c:v>85.639792</c:v>
                </c:pt>
                <c:pt idx="2">
                  <c:v>91.839530999999994</c:v>
                </c:pt>
                <c:pt idx="3">
                  <c:v>91.477408999999994</c:v>
                </c:pt>
                <c:pt idx="4">
                  <c:v>66.902974999999998</c:v>
                </c:pt>
              </c:numCache>
            </c:numRef>
          </c:val>
          <c:smooth val="0"/>
          <c:extLst>
            <c:ext xmlns:c16="http://schemas.microsoft.com/office/drawing/2014/chart" uri="{C3380CC4-5D6E-409C-BE32-E72D297353CC}">
              <c16:uniqueId val="{00000001-A6D8-4053-B079-E099002E6AD8}"/>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40.098210000000002</c:v>
                </c:pt>
                <c:pt idx="1">
                  <c:v>64.071500999999998</c:v>
                </c:pt>
                <c:pt idx="2">
                  <c:v>59.394738999999994</c:v>
                </c:pt>
                <c:pt idx="3">
                  <c:v>59.703116000000001</c:v>
                </c:pt>
                <c:pt idx="4">
                  <c:v>38.800404</c:v>
                </c:pt>
              </c:numCache>
            </c:numRef>
          </c:val>
          <c:smooth val="0"/>
          <c:extLst>
            <c:ext xmlns:c16="http://schemas.microsoft.com/office/drawing/2014/chart" uri="{C3380CC4-5D6E-409C-BE32-E72D297353CC}">
              <c16:uniqueId val="{00000002-A6D8-4053-B079-E099002E6AD8}"/>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53.499456999999992</c:v>
                </c:pt>
                <c:pt idx="1">
                  <c:v>85.386341999999999</c:v>
                </c:pt>
                <c:pt idx="2">
                  <c:v>90.165150999999994</c:v>
                </c:pt>
                <c:pt idx="3">
                  <c:v>91.686663999999993</c:v>
                </c:pt>
                <c:pt idx="4">
                  <c:v>72.111946000000003</c:v>
                </c:pt>
              </c:numCache>
            </c:numRef>
          </c:val>
          <c:smooth val="0"/>
          <c:extLst>
            <c:ext xmlns:c16="http://schemas.microsoft.com/office/drawing/2014/chart" uri="{C3380CC4-5D6E-409C-BE32-E72D297353CC}">
              <c16:uniqueId val="{00000003-A6D8-4053-B079-E099002E6AD8}"/>
            </c:ext>
          </c:extLst>
        </c:ser>
        <c:dLbls>
          <c:showLegendKey val="0"/>
          <c:showVal val="0"/>
          <c:showCatName val="0"/>
          <c:showSerName val="0"/>
          <c:showPercent val="0"/>
          <c:showBubbleSize val="0"/>
        </c:dLbls>
        <c:marker val="1"/>
        <c:smooth val="0"/>
        <c:axId val="145830832"/>
        <c:axId val="145831224"/>
      </c:lineChart>
      <c:catAx>
        <c:axId val="145830832"/>
        <c:scaling>
          <c:orientation val="minMax"/>
        </c:scaling>
        <c:delete val="0"/>
        <c:axPos val="b"/>
        <c:numFmt formatCode="General" sourceLinked="1"/>
        <c:majorTickMark val="none"/>
        <c:minorTickMark val="none"/>
        <c:tickLblPos val="nextTo"/>
        <c:crossAx val="145831224"/>
        <c:crosses val="autoZero"/>
        <c:auto val="1"/>
        <c:lblAlgn val="ctr"/>
        <c:lblOffset val="100"/>
        <c:noMultiLvlLbl val="0"/>
      </c:catAx>
      <c:valAx>
        <c:axId val="1458312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58308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30FE-A389-4F7E-919C-A3956C99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13088</Words>
  <Characters>71986</Characters>
  <Application>Microsoft Office Word</Application>
  <DocSecurity>0</DocSecurity>
  <Lines>599</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Leeds</Company>
  <LinksUpToDate>false</LinksUpToDate>
  <CharactersWithSpaces>84905</CharactersWithSpaces>
  <SharedDoc>false</SharedDoc>
  <HLinks>
    <vt:vector size="798" baseType="variant">
      <vt:variant>
        <vt:i4>1179703</vt:i4>
      </vt:variant>
      <vt:variant>
        <vt:i4>155</vt:i4>
      </vt:variant>
      <vt:variant>
        <vt:i4>0</vt:i4>
      </vt:variant>
      <vt:variant>
        <vt:i4>5</vt:i4>
      </vt:variant>
      <vt:variant>
        <vt:lpwstr/>
      </vt:variant>
      <vt:variant>
        <vt:lpwstr>_Toc454356258</vt:lpwstr>
      </vt:variant>
      <vt:variant>
        <vt:i4>1179703</vt:i4>
      </vt:variant>
      <vt:variant>
        <vt:i4>149</vt:i4>
      </vt:variant>
      <vt:variant>
        <vt:i4>0</vt:i4>
      </vt:variant>
      <vt:variant>
        <vt:i4>5</vt:i4>
      </vt:variant>
      <vt:variant>
        <vt:lpwstr/>
      </vt:variant>
      <vt:variant>
        <vt:lpwstr>_Toc454356257</vt:lpwstr>
      </vt:variant>
      <vt:variant>
        <vt:i4>1179703</vt:i4>
      </vt:variant>
      <vt:variant>
        <vt:i4>143</vt:i4>
      </vt:variant>
      <vt:variant>
        <vt:i4>0</vt:i4>
      </vt:variant>
      <vt:variant>
        <vt:i4>5</vt:i4>
      </vt:variant>
      <vt:variant>
        <vt:lpwstr/>
      </vt:variant>
      <vt:variant>
        <vt:lpwstr>_Toc454356256</vt:lpwstr>
      </vt:variant>
      <vt:variant>
        <vt:i4>1179703</vt:i4>
      </vt:variant>
      <vt:variant>
        <vt:i4>137</vt:i4>
      </vt:variant>
      <vt:variant>
        <vt:i4>0</vt:i4>
      </vt:variant>
      <vt:variant>
        <vt:i4>5</vt:i4>
      </vt:variant>
      <vt:variant>
        <vt:lpwstr/>
      </vt:variant>
      <vt:variant>
        <vt:lpwstr>_Toc454356255</vt:lpwstr>
      </vt:variant>
      <vt:variant>
        <vt:i4>1179703</vt:i4>
      </vt:variant>
      <vt:variant>
        <vt:i4>131</vt:i4>
      </vt:variant>
      <vt:variant>
        <vt:i4>0</vt:i4>
      </vt:variant>
      <vt:variant>
        <vt:i4>5</vt:i4>
      </vt:variant>
      <vt:variant>
        <vt:lpwstr/>
      </vt:variant>
      <vt:variant>
        <vt:lpwstr>_Toc454356254</vt:lpwstr>
      </vt:variant>
      <vt:variant>
        <vt:i4>1179703</vt:i4>
      </vt:variant>
      <vt:variant>
        <vt:i4>125</vt:i4>
      </vt:variant>
      <vt:variant>
        <vt:i4>0</vt:i4>
      </vt:variant>
      <vt:variant>
        <vt:i4>5</vt:i4>
      </vt:variant>
      <vt:variant>
        <vt:lpwstr/>
      </vt:variant>
      <vt:variant>
        <vt:lpwstr>_Toc454356253</vt:lpwstr>
      </vt:variant>
      <vt:variant>
        <vt:i4>1179703</vt:i4>
      </vt:variant>
      <vt:variant>
        <vt:i4>119</vt:i4>
      </vt:variant>
      <vt:variant>
        <vt:i4>0</vt:i4>
      </vt:variant>
      <vt:variant>
        <vt:i4>5</vt:i4>
      </vt:variant>
      <vt:variant>
        <vt:lpwstr/>
      </vt:variant>
      <vt:variant>
        <vt:lpwstr>_Toc454356252</vt:lpwstr>
      </vt:variant>
      <vt:variant>
        <vt:i4>1179703</vt:i4>
      </vt:variant>
      <vt:variant>
        <vt:i4>113</vt:i4>
      </vt:variant>
      <vt:variant>
        <vt:i4>0</vt:i4>
      </vt:variant>
      <vt:variant>
        <vt:i4>5</vt:i4>
      </vt:variant>
      <vt:variant>
        <vt:lpwstr/>
      </vt:variant>
      <vt:variant>
        <vt:lpwstr>_Toc454356251</vt:lpwstr>
      </vt:variant>
      <vt:variant>
        <vt:i4>1179703</vt:i4>
      </vt:variant>
      <vt:variant>
        <vt:i4>107</vt:i4>
      </vt:variant>
      <vt:variant>
        <vt:i4>0</vt:i4>
      </vt:variant>
      <vt:variant>
        <vt:i4>5</vt:i4>
      </vt:variant>
      <vt:variant>
        <vt:lpwstr/>
      </vt:variant>
      <vt:variant>
        <vt:lpwstr>_Toc454356250</vt:lpwstr>
      </vt:variant>
      <vt:variant>
        <vt:i4>1245239</vt:i4>
      </vt:variant>
      <vt:variant>
        <vt:i4>101</vt:i4>
      </vt:variant>
      <vt:variant>
        <vt:i4>0</vt:i4>
      </vt:variant>
      <vt:variant>
        <vt:i4>5</vt:i4>
      </vt:variant>
      <vt:variant>
        <vt:lpwstr/>
      </vt:variant>
      <vt:variant>
        <vt:lpwstr>_Toc454356249</vt:lpwstr>
      </vt:variant>
      <vt:variant>
        <vt:i4>1245239</vt:i4>
      </vt:variant>
      <vt:variant>
        <vt:i4>95</vt:i4>
      </vt:variant>
      <vt:variant>
        <vt:i4>0</vt:i4>
      </vt:variant>
      <vt:variant>
        <vt:i4>5</vt:i4>
      </vt:variant>
      <vt:variant>
        <vt:lpwstr/>
      </vt:variant>
      <vt:variant>
        <vt:lpwstr>_Toc454356248</vt:lpwstr>
      </vt:variant>
      <vt:variant>
        <vt:i4>1245239</vt:i4>
      </vt:variant>
      <vt:variant>
        <vt:i4>89</vt:i4>
      </vt:variant>
      <vt:variant>
        <vt:i4>0</vt:i4>
      </vt:variant>
      <vt:variant>
        <vt:i4>5</vt:i4>
      </vt:variant>
      <vt:variant>
        <vt:lpwstr/>
      </vt:variant>
      <vt:variant>
        <vt:lpwstr>_Toc454356247</vt:lpwstr>
      </vt:variant>
      <vt:variant>
        <vt:i4>1245239</vt:i4>
      </vt:variant>
      <vt:variant>
        <vt:i4>83</vt:i4>
      </vt:variant>
      <vt:variant>
        <vt:i4>0</vt:i4>
      </vt:variant>
      <vt:variant>
        <vt:i4>5</vt:i4>
      </vt:variant>
      <vt:variant>
        <vt:lpwstr/>
      </vt:variant>
      <vt:variant>
        <vt:lpwstr>_Toc454356246</vt:lpwstr>
      </vt:variant>
      <vt:variant>
        <vt:i4>1245239</vt:i4>
      </vt:variant>
      <vt:variant>
        <vt:i4>77</vt:i4>
      </vt:variant>
      <vt:variant>
        <vt:i4>0</vt:i4>
      </vt:variant>
      <vt:variant>
        <vt:i4>5</vt:i4>
      </vt:variant>
      <vt:variant>
        <vt:lpwstr/>
      </vt:variant>
      <vt:variant>
        <vt:lpwstr>_Toc454356245</vt:lpwstr>
      </vt:variant>
      <vt:variant>
        <vt:i4>1245239</vt:i4>
      </vt:variant>
      <vt:variant>
        <vt:i4>71</vt:i4>
      </vt:variant>
      <vt:variant>
        <vt:i4>0</vt:i4>
      </vt:variant>
      <vt:variant>
        <vt:i4>5</vt:i4>
      </vt:variant>
      <vt:variant>
        <vt:lpwstr/>
      </vt:variant>
      <vt:variant>
        <vt:lpwstr>_Toc454356244</vt:lpwstr>
      </vt:variant>
      <vt:variant>
        <vt:i4>1245239</vt:i4>
      </vt:variant>
      <vt:variant>
        <vt:i4>65</vt:i4>
      </vt:variant>
      <vt:variant>
        <vt:i4>0</vt:i4>
      </vt:variant>
      <vt:variant>
        <vt:i4>5</vt:i4>
      </vt:variant>
      <vt:variant>
        <vt:lpwstr/>
      </vt:variant>
      <vt:variant>
        <vt:lpwstr>_Toc454356243</vt:lpwstr>
      </vt:variant>
      <vt:variant>
        <vt:i4>1245239</vt:i4>
      </vt:variant>
      <vt:variant>
        <vt:i4>59</vt:i4>
      </vt:variant>
      <vt:variant>
        <vt:i4>0</vt:i4>
      </vt:variant>
      <vt:variant>
        <vt:i4>5</vt:i4>
      </vt:variant>
      <vt:variant>
        <vt:lpwstr/>
      </vt:variant>
      <vt:variant>
        <vt:lpwstr>_Toc454356242</vt:lpwstr>
      </vt:variant>
      <vt:variant>
        <vt:i4>1245239</vt:i4>
      </vt:variant>
      <vt:variant>
        <vt:i4>53</vt:i4>
      </vt:variant>
      <vt:variant>
        <vt:i4>0</vt:i4>
      </vt:variant>
      <vt:variant>
        <vt:i4>5</vt:i4>
      </vt:variant>
      <vt:variant>
        <vt:lpwstr/>
      </vt:variant>
      <vt:variant>
        <vt:lpwstr>_Toc454356241</vt:lpwstr>
      </vt:variant>
      <vt:variant>
        <vt:i4>1245239</vt:i4>
      </vt:variant>
      <vt:variant>
        <vt:i4>47</vt:i4>
      </vt:variant>
      <vt:variant>
        <vt:i4>0</vt:i4>
      </vt:variant>
      <vt:variant>
        <vt:i4>5</vt:i4>
      </vt:variant>
      <vt:variant>
        <vt:lpwstr/>
      </vt:variant>
      <vt:variant>
        <vt:lpwstr>_Toc454356240</vt:lpwstr>
      </vt:variant>
      <vt:variant>
        <vt:i4>1310775</vt:i4>
      </vt:variant>
      <vt:variant>
        <vt:i4>41</vt:i4>
      </vt:variant>
      <vt:variant>
        <vt:i4>0</vt:i4>
      </vt:variant>
      <vt:variant>
        <vt:i4>5</vt:i4>
      </vt:variant>
      <vt:variant>
        <vt:lpwstr/>
      </vt:variant>
      <vt:variant>
        <vt:lpwstr>_Toc454356239</vt:lpwstr>
      </vt:variant>
      <vt:variant>
        <vt:i4>1310775</vt:i4>
      </vt:variant>
      <vt:variant>
        <vt:i4>35</vt:i4>
      </vt:variant>
      <vt:variant>
        <vt:i4>0</vt:i4>
      </vt:variant>
      <vt:variant>
        <vt:i4>5</vt:i4>
      </vt:variant>
      <vt:variant>
        <vt:lpwstr/>
      </vt:variant>
      <vt:variant>
        <vt:lpwstr>_Toc454356238</vt:lpwstr>
      </vt:variant>
      <vt:variant>
        <vt:i4>1310775</vt:i4>
      </vt:variant>
      <vt:variant>
        <vt:i4>29</vt:i4>
      </vt:variant>
      <vt:variant>
        <vt:i4>0</vt:i4>
      </vt:variant>
      <vt:variant>
        <vt:i4>5</vt:i4>
      </vt:variant>
      <vt:variant>
        <vt:lpwstr/>
      </vt:variant>
      <vt:variant>
        <vt:lpwstr>_Toc454356237</vt:lpwstr>
      </vt:variant>
      <vt:variant>
        <vt:i4>1310775</vt:i4>
      </vt:variant>
      <vt:variant>
        <vt:i4>23</vt:i4>
      </vt:variant>
      <vt:variant>
        <vt:i4>0</vt:i4>
      </vt:variant>
      <vt:variant>
        <vt:i4>5</vt:i4>
      </vt:variant>
      <vt:variant>
        <vt:lpwstr/>
      </vt:variant>
      <vt:variant>
        <vt:lpwstr>_Toc454356236</vt:lpwstr>
      </vt:variant>
      <vt:variant>
        <vt:i4>1310775</vt:i4>
      </vt:variant>
      <vt:variant>
        <vt:i4>17</vt:i4>
      </vt:variant>
      <vt:variant>
        <vt:i4>0</vt:i4>
      </vt:variant>
      <vt:variant>
        <vt:i4>5</vt:i4>
      </vt:variant>
      <vt:variant>
        <vt:lpwstr/>
      </vt:variant>
      <vt:variant>
        <vt:lpwstr>_Toc454356235</vt:lpwstr>
      </vt:variant>
      <vt:variant>
        <vt:i4>1310775</vt:i4>
      </vt:variant>
      <vt:variant>
        <vt:i4>11</vt:i4>
      </vt:variant>
      <vt:variant>
        <vt:i4>0</vt:i4>
      </vt:variant>
      <vt:variant>
        <vt:i4>5</vt:i4>
      </vt:variant>
      <vt:variant>
        <vt:lpwstr/>
      </vt:variant>
      <vt:variant>
        <vt:lpwstr>_Toc454356234</vt:lpwstr>
      </vt:variant>
      <vt:variant>
        <vt:i4>1310775</vt:i4>
      </vt:variant>
      <vt:variant>
        <vt:i4>5</vt:i4>
      </vt:variant>
      <vt:variant>
        <vt:i4>0</vt:i4>
      </vt:variant>
      <vt:variant>
        <vt:i4>5</vt:i4>
      </vt:variant>
      <vt:variant>
        <vt:lpwstr/>
      </vt:variant>
      <vt:variant>
        <vt:lpwstr>_Toc454356233</vt:lpwstr>
      </vt:variant>
      <vt:variant>
        <vt:i4>917588</vt:i4>
      </vt:variant>
      <vt:variant>
        <vt:i4>0</vt:i4>
      </vt:variant>
      <vt:variant>
        <vt:i4>0</vt:i4>
      </vt:variant>
      <vt:variant>
        <vt:i4>5</vt:i4>
      </vt:variant>
      <vt:variant>
        <vt:lpwstr>http://disability-europe.net/</vt:lpwstr>
      </vt:variant>
      <vt:variant>
        <vt:lpwstr/>
      </vt:variant>
      <vt:variant>
        <vt:i4>4718664</vt:i4>
      </vt:variant>
      <vt:variant>
        <vt:i4>480</vt:i4>
      </vt:variant>
      <vt:variant>
        <vt:i4>0</vt:i4>
      </vt:variant>
      <vt:variant>
        <vt:i4>5</vt:i4>
      </vt:variant>
      <vt:variant>
        <vt:lpwstr>http://www.scotland.gov.uk/Resource/0044/00449625.pdf</vt:lpwstr>
      </vt:variant>
      <vt:variant>
        <vt:lpwstr/>
      </vt:variant>
      <vt:variant>
        <vt:i4>7077988</vt:i4>
      </vt:variant>
      <vt:variant>
        <vt:i4>477</vt:i4>
      </vt:variant>
      <vt:variant>
        <vt:i4>0</vt:i4>
      </vt:variant>
      <vt:variant>
        <vt:i4>5</vt:i4>
      </vt:variant>
      <vt:variant>
        <vt:lpwstr>http://wales.gov.uk/docs/det/consultation/130708consultationanalysisen.pdf</vt:lpwstr>
      </vt:variant>
      <vt:variant>
        <vt:lpwstr/>
      </vt:variant>
      <vt:variant>
        <vt:i4>5177406</vt:i4>
      </vt:variant>
      <vt:variant>
        <vt:i4>474</vt:i4>
      </vt:variant>
      <vt:variant>
        <vt:i4>0</vt:i4>
      </vt:variant>
      <vt:variant>
        <vt:i4>5</vt:i4>
      </vt:variant>
      <vt:variant>
        <vt:lpwstr>https://www.gov.uk/government/uploads/system/uploads/attachment_data/file/306999/bis-14-756-equality-impact-assessment-UK-partnership-agreement.pdf</vt:lpwstr>
      </vt:variant>
      <vt:variant>
        <vt:lpwstr/>
      </vt:variant>
      <vt:variant>
        <vt:i4>1966181</vt:i4>
      </vt:variant>
      <vt:variant>
        <vt:i4>471</vt:i4>
      </vt:variant>
      <vt:variant>
        <vt:i4>0</vt:i4>
      </vt:variant>
      <vt:variant>
        <vt:i4>5</vt:i4>
      </vt:variant>
      <vt:variant>
        <vt:lpwstr>https://www.gov.uk/government/uploads/system/uploads/attachment_data/file/307562/bis-14-773-eu-structural-funds-uk-allocations-2014-to-2020-equality-impact.pdf</vt:lpwstr>
      </vt:variant>
      <vt:variant>
        <vt:lpwstr/>
      </vt:variant>
      <vt:variant>
        <vt:i4>4259948</vt:i4>
      </vt:variant>
      <vt:variant>
        <vt:i4>462</vt:i4>
      </vt:variant>
      <vt:variant>
        <vt:i4>0</vt:i4>
      </vt:variant>
      <vt:variant>
        <vt:i4>5</vt:i4>
      </vt:variant>
      <vt:variant>
        <vt:lpwstr>https://www.gov.uk/government/uploads/system/uploads/attachment_data/file/314974/esf-good-practice-disabled-people.pdf</vt:lpwstr>
      </vt:variant>
      <vt:variant>
        <vt:lpwstr/>
      </vt:variant>
      <vt:variant>
        <vt:i4>7733344</vt:i4>
      </vt:variant>
      <vt:variant>
        <vt:i4>459</vt:i4>
      </vt:variant>
      <vt:variant>
        <vt:i4>0</vt:i4>
      </vt:variant>
      <vt:variant>
        <vt:i4>5</vt:i4>
      </vt:variant>
      <vt:variant>
        <vt:lpwstr>http://www.berr.gov.uk/files/file34769.doc</vt:lpwstr>
      </vt:variant>
      <vt:variant>
        <vt:lpwstr/>
      </vt:variant>
      <vt:variant>
        <vt:i4>5505098</vt:i4>
      </vt:variant>
      <vt:variant>
        <vt:i4>453</vt:i4>
      </vt:variant>
      <vt:variant>
        <vt:i4>0</vt:i4>
      </vt:variant>
      <vt:variant>
        <vt:i4>5</vt:i4>
      </vt:variant>
      <vt:variant>
        <vt:lpwstr>http://ec.europa.eu/europe2020/pdf/csr2016/cr2016_uk_en.pdf</vt:lpwstr>
      </vt:variant>
      <vt:variant>
        <vt:lpwstr/>
      </vt:variant>
      <vt:variant>
        <vt:i4>2752561</vt:i4>
      </vt:variant>
      <vt:variant>
        <vt:i4>438</vt:i4>
      </vt:variant>
      <vt:variant>
        <vt:i4>0</vt:i4>
      </vt:variant>
      <vt:variant>
        <vt:i4>5</vt:i4>
      </vt:variant>
      <vt:variant>
        <vt:lpwstr>https://www.gov.uk/government/publications/apprenticeships-proposals-for-funding-from-may-2017</vt:lpwstr>
      </vt:variant>
      <vt:variant>
        <vt:lpwstr/>
      </vt:variant>
      <vt:variant>
        <vt:i4>4718612</vt:i4>
      </vt:variant>
      <vt:variant>
        <vt:i4>435</vt:i4>
      </vt:variant>
      <vt:variant>
        <vt:i4>0</vt:i4>
      </vt:variant>
      <vt:variant>
        <vt:i4>5</vt:i4>
      </vt:variant>
      <vt:variant>
        <vt:lpwstr>https://www.gov.uk/government/publications/apprenticeship-levy-how-it-will-work/apprenticeship-levy-how-it-will-work</vt:lpwstr>
      </vt:variant>
      <vt:variant>
        <vt:lpwstr/>
      </vt:variant>
      <vt:variant>
        <vt:i4>5636163</vt:i4>
      </vt:variant>
      <vt:variant>
        <vt:i4>432</vt:i4>
      </vt:variant>
      <vt:variant>
        <vt:i4>0</vt:i4>
      </vt:variant>
      <vt:variant>
        <vt:i4>5</vt:i4>
      </vt:variant>
      <vt:variant>
        <vt:lpwstr>https://www.gov.uk/government/uploads/system/uploads/attachment_data/file/527346/STANDARD_Construction_Design_and_Build_Technician.pdf</vt:lpwstr>
      </vt:variant>
      <vt:variant>
        <vt:lpwstr/>
      </vt:variant>
      <vt:variant>
        <vt:i4>1769563</vt:i4>
      </vt:variant>
      <vt:variant>
        <vt:i4>429</vt:i4>
      </vt:variant>
      <vt:variant>
        <vt:i4>0</vt:i4>
      </vt:variant>
      <vt:variant>
        <vt:i4>5</vt:i4>
      </vt:variant>
      <vt:variant>
        <vt:lpwstr>https://www.gov.uk/government/publications/apprenticeship-standards-funding-rules</vt:lpwstr>
      </vt:variant>
      <vt:variant>
        <vt:lpwstr/>
      </vt:variant>
      <vt:variant>
        <vt:i4>1048597</vt:i4>
      </vt:variant>
      <vt:variant>
        <vt:i4>408</vt:i4>
      </vt:variant>
      <vt:variant>
        <vt:i4>0</vt:i4>
      </vt:variant>
      <vt:variant>
        <vt:i4>5</vt:i4>
      </vt:variant>
      <vt:variant>
        <vt:lpwstr>http://www.planningportal.gov.uk/buildingregulations/approveddocuments/partm/adm/admvol1</vt:lpwstr>
      </vt:variant>
      <vt:variant>
        <vt:lpwstr/>
      </vt:variant>
      <vt:variant>
        <vt:i4>7864370</vt:i4>
      </vt:variant>
      <vt:variant>
        <vt:i4>405</vt:i4>
      </vt:variant>
      <vt:variant>
        <vt:i4>0</vt:i4>
      </vt:variant>
      <vt:variant>
        <vt:i4>5</vt:i4>
      </vt:variant>
      <vt:variant>
        <vt:lpwstr>http://www.gov.scot/resource/doc/340696/0112970.pdf</vt:lpwstr>
      </vt:variant>
      <vt:variant>
        <vt:lpwstr/>
      </vt:variant>
      <vt:variant>
        <vt:i4>6094926</vt:i4>
      </vt:variant>
      <vt:variant>
        <vt:i4>402</vt:i4>
      </vt:variant>
      <vt:variant>
        <vt:i4>0</vt:i4>
      </vt:variant>
      <vt:variant>
        <vt:i4>5</vt:i4>
      </vt:variant>
      <vt:variant>
        <vt:lpwstr>https://www.gov.uk/government/publications/national-planning-policy-framework--2</vt:lpwstr>
      </vt:variant>
      <vt:variant>
        <vt:lpwstr/>
      </vt:variant>
      <vt:variant>
        <vt:i4>6291506</vt:i4>
      </vt:variant>
      <vt:variant>
        <vt:i4>399</vt:i4>
      </vt:variant>
      <vt:variant>
        <vt:i4>0</vt:i4>
      </vt:variant>
      <vt:variant>
        <vt:i4>5</vt:i4>
      </vt:variant>
      <vt:variant>
        <vt:lpwstr>http://www.centreforwelfarereform.org/uploads/attachment/354/a-fair-society.pdf</vt:lpwstr>
      </vt:variant>
      <vt:variant>
        <vt:lpwstr/>
      </vt:variant>
      <vt:variant>
        <vt:i4>1966099</vt:i4>
      </vt:variant>
      <vt:variant>
        <vt:i4>396</vt:i4>
      </vt:variant>
      <vt:variant>
        <vt:i4>0</vt:i4>
      </vt:variant>
      <vt:variant>
        <vt:i4>5</vt:i4>
      </vt:variant>
      <vt:variant>
        <vt:lpwstr>http://www.centreforwelfarereform.org/library/type/pdfs/dignity-and-opportunity-for-all.html</vt:lpwstr>
      </vt:variant>
      <vt:variant>
        <vt:lpwstr/>
      </vt:variant>
      <vt:variant>
        <vt:i4>6946913</vt:i4>
      </vt:variant>
      <vt:variant>
        <vt:i4>387</vt:i4>
      </vt:variant>
      <vt:variant>
        <vt:i4>0</vt:i4>
      </vt:variant>
      <vt:variant>
        <vt:i4>5</vt:i4>
      </vt:variant>
      <vt:variant>
        <vt:lpwstr>http://ec.europa.eu/europe2020/pdf/csr2016/csr2016_uk_en.pdf</vt:lpwstr>
      </vt:variant>
      <vt:variant>
        <vt:lpwstr/>
      </vt:variant>
      <vt:variant>
        <vt:i4>1835085</vt:i4>
      </vt:variant>
      <vt:variant>
        <vt:i4>378</vt:i4>
      </vt:variant>
      <vt:variant>
        <vt:i4>0</vt:i4>
      </vt:variant>
      <vt:variant>
        <vt:i4>5</vt:i4>
      </vt:variant>
      <vt:variant>
        <vt:lpwstr>http://www.jrf.org.uk/sites/files/jrf/MPSE-2014-FULL.pdf</vt:lpwstr>
      </vt:variant>
      <vt:variant>
        <vt:lpwstr/>
      </vt:variant>
      <vt:variant>
        <vt:i4>2228255</vt:i4>
      </vt:variant>
      <vt:variant>
        <vt:i4>375</vt:i4>
      </vt:variant>
      <vt:variant>
        <vt:i4>0</vt:i4>
      </vt:variant>
      <vt:variant>
        <vt:i4>5</vt:i4>
      </vt:variant>
      <vt:variant>
        <vt:lpwstr>https://www.gov.uk/government/uploads/system/uploads/attachment_data/file/508193/HMT_Budget_2016_Web_Accessible.pdf</vt:lpwstr>
      </vt:variant>
      <vt:variant>
        <vt:lpwstr/>
      </vt:variant>
      <vt:variant>
        <vt:i4>5177378</vt:i4>
      </vt:variant>
      <vt:variant>
        <vt:i4>372</vt:i4>
      </vt:variant>
      <vt:variant>
        <vt:i4>0</vt:i4>
      </vt:variant>
      <vt:variant>
        <vt:i4>5</vt:i4>
      </vt:variant>
      <vt:variant>
        <vt:lpwstr>https://www.gov.uk/government/uploads/system/uploads/attachment_data/file/329948/rr882-evaluation-of-removal-of-the-spare-room-subsidy.pdf</vt:lpwstr>
      </vt:variant>
      <vt:variant>
        <vt:lpwstr/>
      </vt:variant>
      <vt:variant>
        <vt:i4>2556004</vt:i4>
      </vt:variant>
      <vt:variant>
        <vt:i4>369</vt:i4>
      </vt:variant>
      <vt:variant>
        <vt:i4>0</vt:i4>
      </vt:variant>
      <vt:variant>
        <vt:i4>5</vt:i4>
      </vt:variant>
      <vt:variant>
        <vt:lpwstr>http://www.bailii.org/ew/cases/EWHC/Admin/2013/897.html</vt:lpwstr>
      </vt:variant>
      <vt:variant>
        <vt:lpwstr/>
      </vt:variant>
      <vt:variant>
        <vt:i4>3604524</vt:i4>
      </vt:variant>
      <vt:variant>
        <vt:i4>348</vt:i4>
      </vt:variant>
      <vt:variant>
        <vt:i4>0</vt:i4>
      </vt:variant>
      <vt:variant>
        <vt:i4>5</vt:i4>
      </vt:variant>
      <vt:variant>
        <vt:lpwstr>http://www.bbc.co.uk/news/business-33429390</vt:lpwstr>
      </vt:variant>
      <vt:variant>
        <vt:lpwstr/>
      </vt:variant>
      <vt:variant>
        <vt:i4>524412</vt:i4>
      </vt:variant>
      <vt:variant>
        <vt:i4>345</vt:i4>
      </vt:variant>
      <vt:variant>
        <vt:i4>0</vt:i4>
      </vt:variant>
      <vt:variant>
        <vt:i4>5</vt:i4>
      </vt:variant>
      <vt:variant>
        <vt:lpwstr>http://tbinternet.ohchr.org/_layouts/treatybodyexternal/Download.aspx?symbolno=E%2fC.12%2fGBR%2fQ%2f6&amp;Lang=en</vt:lpwstr>
      </vt:variant>
      <vt:variant>
        <vt:lpwstr/>
      </vt:variant>
      <vt:variant>
        <vt:i4>4259845</vt:i4>
      </vt:variant>
      <vt:variant>
        <vt:i4>339</vt:i4>
      </vt:variant>
      <vt:variant>
        <vt:i4>0</vt:i4>
      </vt:variant>
      <vt:variant>
        <vt:i4>5</vt:i4>
      </vt:variant>
      <vt:variant>
        <vt:lpwstr>http://www.disabilityrightsuk.org/policy-campaigns/campaigns/hardest-hit-campaign</vt:lpwstr>
      </vt:variant>
      <vt:variant>
        <vt:lpwstr/>
      </vt:variant>
      <vt:variant>
        <vt:i4>7209081</vt:i4>
      </vt:variant>
      <vt:variant>
        <vt:i4>336</vt:i4>
      </vt:variant>
      <vt:variant>
        <vt:i4>0</vt:i4>
      </vt:variant>
      <vt:variant>
        <vt:i4>5</vt:i4>
      </vt:variant>
      <vt:variant>
        <vt:lpwstr>https://www.hesa.ac.uk/pis/dsa</vt:lpwstr>
      </vt:variant>
      <vt:variant>
        <vt:lpwstr/>
      </vt:variant>
      <vt:variant>
        <vt:i4>4915257</vt:i4>
      </vt:variant>
      <vt:variant>
        <vt:i4>333</vt:i4>
      </vt:variant>
      <vt:variant>
        <vt:i4>0</vt:i4>
      </vt:variant>
      <vt:variant>
        <vt:i4>5</vt:i4>
      </vt:variant>
      <vt:variant>
        <vt:lpwstr>https://www.gov.uk/government/uploads/system/uploads/attachment_data/file/392610/bis-14-1108-higher-education-disabled-students-allowances-equality-analysis-revised-16-12-2014.pdf</vt:lpwstr>
      </vt:variant>
      <vt:variant>
        <vt:lpwstr/>
      </vt:variant>
      <vt:variant>
        <vt:i4>7143527</vt:i4>
      </vt:variant>
      <vt:variant>
        <vt:i4>330</vt:i4>
      </vt:variant>
      <vt:variant>
        <vt:i4>0</vt:i4>
      </vt:variant>
      <vt:variant>
        <vt:i4>5</vt:i4>
      </vt:variant>
      <vt:variant>
        <vt:lpwstr>https://www.gov.uk/government/uploads/system/uploads/attachment_data/file/439947/bis-15-81-consultation-on-targeting-funding-for-disabled_students-in-higher-education-from-2016-17.pdf</vt:lpwstr>
      </vt:variant>
      <vt:variant>
        <vt:lpwstr/>
      </vt:variant>
      <vt:variant>
        <vt:i4>3211320</vt:i4>
      </vt:variant>
      <vt:variant>
        <vt:i4>327</vt:i4>
      </vt:variant>
      <vt:variant>
        <vt:i4>0</vt:i4>
      </vt:variant>
      <vt:variant>
        <vt:i4>5</vt:i4>
      </vt:variant>
      <vt:variant>
        <vt:lpwstr>http://www.parliament.uk/documents/commons-vote-office/September 2014/12 September/2-BIS-StudentSupport.pdf</vt:lpwstr>
      </vt:variant>
      <vt:variant>
        <vt:lpwstr/>
      </vt:variant>
      <vt:variant>
        <vt:i4>6422568</vt:i4>
      </vt:variant>
      <vt:variant>
        <vt:i4>324</vt:i4>
      </vt:variant>
      <vt:variant>
        <vt:i4>0</vt:i4>
      </vt:variant>
      <vt:variant>
        <vt:i4>5</vt:i4>
      </vt:variant>
      <vt:variant>
        <vt:lpwstr>https://www.gov.uk/government/speeches/higher-education-student-support-changes-to-disabled-students-allowances-dsa</vt:lpwstr>
      </vt:variant>
      <vt:variant>
        <vt:lpwstr/>
      </vt:variant>
      <vt:variant>
        <vt:i4>6881388</vt:i4>
      </vt:variant>
      <vt:variant>
        <vt:i4>321</vt:i4>
      </vt:variant>
      <vt:variant>
        <vt:i4>0</vt:i4>
      </vt:variant>
      <vt:variant>
        <vt:i4>5</vt:i4>
      </vt:variant>
      <vt:variant>
        <vt:lpwstr>https://www.gov.uk/government/uploads/system/uploads/attachment_data/file/275104/RR326B_EHC_planning_pathway_-_FINAL.pdf</vt:lpwstr>
      </vt:variant>
      <vt:variant>
        <vt:lpwstr/>
      </vt:variant>
      <vt:variant>
        <vt:i4>1638401</vt:i4>
      </vt:variant>
      <vt:variant>
        <vt:i4>318</vt:i4>
      </vt:variant>
      <vt:variant>
        <vt:i4>0</vt:i4>
      </vt:variant>
      <vt:variant>
        <vt:i4>5</vt:i4>
      </vt:variant>
      <vt:variant>
        <vt:lpwstr>http://wales.gov.uk/docs/caecd/publications/131030EMAEIA.doc</vt:lpwstr>
      </vt:variant>
      <vt:variant>
        <vt:lpwstr/>
      </vt:variant>
      <vt:variant>
        <vt:i4>69</vt:i4>
      </vt:variant>
      <vt:variant>
        <vt:i4>315</vt:i4>
      </vt:variant>
      <vt:variant>
        <vt:i4>0</vt:i4>
      </vt:variant>
      <vt:variant>
        <vt:i4>5</vt:i4>
      </vt:variant>
      <vt:variant>
        <vt:lpwstr>http://www.deni.gov.uk/ema_consultation_equality_impact_assessment_-_english.pdf</vt:lpwstr>
      </vt:variant>
      <vt:variant>
        <vt:lpwstr/>
      </vt:variant>
      <vt:variant>
        <vt:i4>7602238</vt:i4>
      </vt:variant>
      <vt:variant>
        <vt:i4>312</vt:i4>
      </vt:variant>
      <vt:variant>
        <vt:i4>0</vt:i4>
      </vt:variant>
      <vt:variant>
        <vt:i4>5</vt:i4>
      </vt:variant>
      <vt:variant>
        <vt:lpwstr>https://www.gov.uk/education-maintenance-allowance-ema</vt:lpwstr>
      </vt:variant>
      <vt:variant>
        <vt:lpwstr/>
      </vt:variant>
      <vt:variant>
        <vt:i4>6553658</vt:i4>
      </vt:variant>
      <vt:variant>
        <vt:i4>309</vt:i4>
      </vt:variant>
      <vt:variant>
        <vt:i4>0</vt:i4>
      </vt:variant>
      <vt:variant>
        <vt:i4>5</vt:i4>
      </vt:variant>
      <vt:variant>
        <vt:lpwstr>http://www.sendpathfinder.co.uk/coordinated-assessment-process</vt:lpwstr>
      </vt:variant>
      <vt:variant>
        <vt:lpwstr/>
      </vt:variant>
      <vt:variant>
        <vt:i4>4259853</vt:i4>
      </vt:variant>
      <vt:variant>
        <vt:i4>306</vt:i4>
      </vt:variant>
      <vt:variant>
        <vt:i4>0</vt:i4>
      </vt:variant>
      <vt:variant>
        <vt:i4>5</vt:i4>
      </vt:variant>
      <vt:variant>
        <vt:lpwstr>https://www.gov.uk/government/uploads_x000b_/system/uploads/attachment_data/file/414388/SEND_implementation_update.pdf</vt:lpwstr>
      </vt:variant>
      <vt:variant>
        <vt:lpwstr/>
      </vt:variant>
      <vt:variant>
        <vt:i4>6881388</vt:i4>
      </vt:variant>
      <vt:variant>
        <vt:i4>303</vt:i4>
      </vt:variant>
      <vt:variant>
        <vt:i4>0</vt:i4>
      </vt:variant>
      <vt:variant>
        <vt:i4>5</vt:i4>
      </vt:variant>
      <vt:variant>
        <vt:lpwstr>https://www.gov.uk/government/uploads/system/uploads/attachment_data/file/275104/RR326B_EHC_planning_pathway_-_FINAL.pdf</vt:lpwstr>
      </vt:variant>
      <vt:variant>
        <vt:lpwstr/>
      </vt:variant>
      <vt:variant>
        <vt:i4>6094870</vt:i4>
      </vt:variant>
      <vt:variant>
        <vt:i4>300</vt:i4>
      </vt:variant>
      <vt:variant>
        <vt:i4>0</vt:i4>
      </vt:variant>
      <vt:variant>
        <vt:i4>5</vt:i4>
      </vt:variant>
      <vt:variant>
        <vt:lpwstr>https://www.gov.uk/children-with-special-educational-needs/extra-SEN-help</vt:lpwstr>
      </vt:variant>
      <vt:variant>
        <vt:lpwstr/>
      </vt:variant>
      <vt:variant>
        <vt:i4>3604593</vt:i4>
      </vt:variant>
      <vt:variant>
        <vt:i4>288</vt:i4>
      </vt:variant>
      <vt:variant>
        <vt:i4>0</vt:i4>
      </vt:variant>
      <vt:variant>
        <vt:i4>5</vt:i4>
      </vt:variant>
      <vt:variant>
        <vt:lpwstr>https://www.gov.uk/government/statistical-data-sets/fe-data-library-apprenticeships</vt:lpwstr>
      </vt:variant>
      <vt:variant>
        <vt:lpwstr/>
      </vt:variant>
      <vt:variant>
        <vt:i4>6422635</vt:i4>
      </vt:variant>
      <vt:variant>
        <vt:i4>285</vt:i4>
      </vt:variant>
      <vt:variant>
        <vt:i4>0</vt:i4>
      </vt:variant>
      <vt:variant>
        <vt:i4>5</vt:i4>
      </vt:variant>
      <vt:variant>
        <vt:lpwstr>http://www.ecu.ac.uk/goodpracticefund/funded-projects/</vt:lpwstr>
      </vt:variant>
      <vt:variant>
        <vt:lpwstr/>
      </vt:variant>
      <vt:variant>
        <vt:i4>3538979</vt:i4>
      </vt:variant>
      <vt:variant>
        <vt:i4>282</vt:i4>
      </vt:variant>
      <vt:variant>
        <vt:i4>0</vt:i4>
      </vt:variant>
      <vt:variant>
        <vt:i4>5</vt:i4>
      </vt:variant>
      <vt:variant>
        <vt:lpwstr>http://www.ecu.ac.uk/goodpracticefund/</vt:lpwstr>
      </vt:variant>
      <vt:variant>
        <vt:lpwstr/>
      </vt:variant>
      <vt:variant>
        <vt:i4>7929981</vt:i4>
      </vt:variant>
      <vt:variant>
        <vt:i4>279</vt:i4>
      </vt:variant>
      <vt:variant>
        <vt:i4>0</vt:i4>
      </vt:variant>
      <vt:variant>
        <vt:i4>5</vt:i4>
      </vt:variant>
      <vt:variant>
        <vt:lpwstr>http://www.disabilityrightsuk.org/news/2014/april/our-new-apprenticeships-guide</vt:lpwstr>
      </vt:variant>
      <vt:variant>
        <vt:lpwstr/>
      </vt:variant>
      <vt:variant>
        <vt:i4>6946851</vt:i4>
      </vt:variant>
      <vt:variant>
        <vt:i4>276</vt:i4>
      </vt:variant>
      <vt:variant>
        <vt:i4>0</vt:i4>
      </vt:variant>
      <vt:variant>
        <vt:i4>5</vt:i4>
      </vt:variant>
      <vt:variant>
        <vt:lpwstr>http://www.employer-toolkit.org.uk/</vt:lpwstr>
      </vt:variant>
      <vt:variant>
        <vt:lpwstr/>
      </vt:variant>
      <vt:variant>
        <vt:i4>2752635</vt:i4>
      </vt:variant>
      <vt:variant>
        <vt:i4>273</vt:i4>
      </vt:variant>
      <vt:variant>
        <vt:i4>0</vt:i4>
      </vt:variant>
      <vt:variant>
        <vt:i4>5</vt:i4>
      </vt:variant>
      <vt:variant>
        <vt:lpwstr>http://www.councilfordisabledchildren.org.uk/youngpeoplesadvisorygroup</vt:lpwstr>
      </vt:variant>
      <vt:variant>
        <vt:lpwstr/>
      </vt:variant>
      <vt:variant>
        <vt:i4>5242897</vt:i4>
      </vt:variant>
      <vt:variant>
        <vt:i4>270</vt:i4>
      </vt:variant>
      <vt:variant>
        <vt:i4>0</vt:i4>
      </vt:variant>
      <vt:variant>
        <vt:i4>5</vt:i4>
      </vt:variant>
      <vt:variant>
        <vt:lpwstr>https://www.gov.uk/know-when-you-can-leave-school</vt:lpwstr>
      </vt:variant>
      <vt:variant>
        <vt:lpwstr/>
      </vt:variant>
      <vt:variant>
        <vt:i4>3735650</vt:i4>
      </vt:variant>
      <vt:variant>
        <vt:i4>255</vt:i4>
      </vt:variant>
      <vt:variant>
        <vt:i4>0</vt:i4>
      </vt:variant>
      <vt:variant>
        <vt:i4>5</vt:i4>
      </vt:variant>
      <vt:variant>
        <vt:lpwstr>https://www.theyworkforyou.com/debates/?id=2016-06-08a.1257.10</vt:lpwstr>
      </vt:variant>
      <vt:variant>
        <vt:lpwstr/>
      </vt:variant>
      <vt:variant>
        <vt:i4>1769492</vt:i4>
      </vt:variant>
      <vt:variant>
        <vt:i4>252</vt:i4>
      </vt:variant>
      <vt:variant>
        <vt:i4>0</vt:i4>
      </vt:variant>
      <vt:variant>
        <vt:i4>5</vt:i4>
      </vt:variant>
      <vt:variant>
        <vt:lpwstr>https://www.parliament.uk/business/committees/committees-a-z/commons-select/work-and-pensions-committee/news-parliament-2015/disability-employment-gap-launch-15-16/</vt:lpwstr>
      </vt:variant>
      <vt:variant>
        <vt:lpwstr/>
      </vt:variant>
      <vt:variant>
        <vt:i4>7798904</vt:i4>
      </vt:variant>
      <vt:variant>
        <vt:i4>246</vt:i4>
      </vt:variant>
      <vt:variant>
        <vt:i4>0</vt:i4>
      </vt:variant>
      <vt:variant>
        <vt:i4>5</vt:i4>
      </vt:variant>
      <vt:variant>
        <vt:lpwstr>https://www.gov.uk/government/consultations/communications-for-people-who-are-deaf-or-have-hearing-loss-communications-support-work/call-for-evidence-market-review-of-bsl-and-communications-provision-for-people-who-are-deaf-or-have-hearing-loss-communication-support-work</vt:lpwstr>
      </vt:variant>
      <vt:variant>
        <vt:lpwstr/>
      </vt:variant>
      <vt:variant>
        <vt:i4>1245213</vt:i4>
      </vt:variant>
      <vt:variant>
        <vt:i4>243</vt:i4>
      </vt:variant>
      <vt:variant>
        <vt:i4>0</vt:i4>
      </vt:variant>
      <vt:variant>
        <vt:i4>5</vt:i4>
      </vt:variant>
      <vt:variant>
        <vt:lpwstr>http://stopchanges2atw.com/march-with-us/</vt:lpwstr>
      </vt:variant>
      <vt:variant>
        <vt:lpwstr/>
      </vt:variant>
      <vt:variant>
        <vt:i4>6619154</vt:i4>
      </vt:variant>
      <vt:variant>
        <vt:i4>237</vt:i4>
      </vt:variant>
      <vt:variant>
        <vt:i4>0</vt:i4>
      </vt:variant>
      <vt:variant>
        <vt:i4>5</vt:i4>
      </vt:variant>
      <vt:variant>
        <vt:lpwstr>https://www.gov.uk/government/uploads/system/uploads/attachment_data/file/538443/access-to-work-statistics-march-2016.pdf</vt:lpwstr>
      </vt:variant>
      <vt:variant>
        <vt:lpwstr/>
      </vt:variant>
      <vt:variant>
        <vt:i4>4391010</vt:i4>
      </vt:variant>
      <vt:variant>
        <vt:i4>234</vt:i4>
      </vt:variant>
      <vt:variant>
        <vt:i4>0</vt:i4>
      </vt:variant>
      <vt:variant>
        <vt:i4>5</vt:i4>
      </vt:variant>
      <vt:variant>
        <vt:lpwstr>https://www.gov.uk/government/uploads/system/uploads/attachment_data/file/553879/access-to-work-october-2016-statistical-notice.pdf</vt:lpwstr>
      </vt:variant>
      <vt:variant>
        <vt:lpwstr/>
      </vt:variant>
      <vt:variant>
        <vt:i4>5111860</vt:i4>
      </vt:variant>
      <vt:variant>
        <vt:i4>213</vt:i4>
      </vt:variant>
      <vt:variant>
        <vt:i4>0</vt:i4>
      </vt:variant>
      <vt:variant>
        <vt:i4>5</vt:i4>
      </vt:variant>
      <vt:variant>
        <vt:lpwstr>https://www.gov.uk/government/uploads/system/uploads/attachment_data/file/550389/youth-offer-statistics-to-may-2016.pdf</vt:lpwstr>
      </vt:variant>
      <vt:variant>
        <vt:lpwstr/>
      </vt:variant>
      <vt:variant>
        <vt:i4>7929982</vt:i4>
      </vt:variant>
      <vt:variant>
        <vt:i4>210</vt:i4>
      </vt:variant>
      <vt:variant>
        <vt:i4>0</vt:i4>
      </vt:variant>
      <vt:variant>
        <vt:i4>5</vt:i4>
      </vt:variant>
      <vt:variant>
        <vt:lpwstr>https://www.gov.uk/government/publications/spending-review-and-autumn-statement-2015-documents</vt:lpwstr>
      </vt:variant>
      <vt:variant>
        <vt:lpwstr/>
      </vt:variant>
      <vt:variant>
        <vt:i4>786443</vt:i4>
      </vt:variant>
      <vt:variant>
        <vt:i4>189</vt:i4>
      </vt:variant>
      <vt:variant>
        <vt:i4>0</vt:i4>
      </vt:variant>
      <vt:variant>
        <vt:i4>5</vt:i4>
      </vt:variant>
      <vt:variant>
        <vt:lpwstr>https://www.gov.uk/government/publications/intensive-activity-programme-trial-evaluation</vt:lpwstr>
      </vt:variant>
      <vt:variant>
        <vt:lpwstr/>
      </vt:variant>
      <vt:variant>
        <vt:i4>2228255</vt:i4>
      </vt:variant>
      <vt:variant>
        <vt:i4>186</vt:i4>
      </vt:variant>
      <vt:variant>
        <vt:i4>0</vt:i4>
      </vt:variant>
      <vt:variant>
        <vt:i4>5</vt:i4>
      </vt:variant>
      <vt:variant>
        <vt:lpwstr>https://www.gov.uk/government/uploads/system/uploads/attachment_data/file/508193/HMT_Budget_2016_Web_Accessible.pdf</vt:lpwstr>
      </vt:variant>
      <vt:variant>
        <vt:lpwstr/>
      </vt:variant>
      <vt:variant>
        <vt:i4>1507439</vt:i4>
      </vt:variant>
      <vt:variant>
        <vt:i4>183</vt:i4>
      </vt:variant>
      <vt:variant>
        <vt:i4>0</vt:i4>
      </vt:variant>
      <vt:variant>
        <vt:i4>5</vt:i4>
      </vt:variant>
      <vt:variant>
        <vt:lpwstr>https://www.gov.uk/government/uploads/system/uploads/attachment_data/file/524894/work-choice-statistics-to-mar-2016.pdf</vt:lpwstr>
      </vt:variant>
      <vt:variant>
        <vt:lpwstr/>
      </vt:variant>
      <vt:variant>
        <vt:i4>7864395</vt:i4>
      </vt:variant>
      <vt:variant>
        <vt:i4>180</vt:i4>
      </vt:variant>
      <vt:variant>
        <vt:i4>0</vt:i4>
      </vt:variant>
      <vt:variant>
        <vt:i4>5</vt:i4>
      </vt:variant>
      <vt:variant>
        <vt:lpwstr>https://www.gov.uk/government/uploads/system/uploads/attachment_data/file/477460/work-choice-statistics-sep-2015.pdf</vt:lpwstr>
      </vt:variant>
      <vt:variant>
        <vt:lpwstr/>
      </vt:variant>
      <vt:variant>
        <vt:i4>2883665</vt:i4>
      </vt:variant>
      <vt:variant>
        <vt:i4>177</vt:i4>
      </vt:variant>
      <vt:variant>
        <vt:i4>0</vt:i4>
      </vt:variant>
      <vt:variant>
        <vt:i4>5</vt:i4>
      </vt:variant>
      <vt:variant>
        <vt:lpwstr>https://www.gov.uk/government/uploads/system/uploads/attachment_data/file/193323/rrep821.pdf</vt:lpwstr>
      </vt:variant>
      <vt:variant>
        <vt:lpwstr/>
      </vt:variant>
      <vt:variant>
        <vt:i4>8323083</vt:i4>
      </vt:variant>
      <vt:variant>
        <vt:i4>174</vt:i4>
      </vt:variant>
      <vt:variant>
        <vt:i4>0</vt:i4>
      </vt:variant>
      <vt:variant>
        <vt:i4>5</vt:i4>
      </vt:variant>
      <vt:variant>
        <vt:lpwstr>https://www.gov.uk/government/uploads/system/uploads/attachment_data/file/525175/mandatory-programmes-statistics-to-feb-2016.pdf</vt:lpwstr>
      </vt:variant>
      <vt:variant>
        <vt:lpwstr/>
      </vt:variant>
      <vt:variant>
        <vt:i4>6225936</vt:i4>
      </vt:variant>
      <vt:variant>
        <vt:i4>171</vt:i4>
      </vt:variant>
      <vt:variant>
        <vt:i4>0</vt:i4>
      </vt:variant>
      <vt:variant>
        <vt:i4>5</vt:i4>
      </vt:variant>
      <vt:variant>
        <vt:lpwstr>https://www.gov.uk/government/statistics/work-programmes-statistical-summary-data-to-30-june-2015</vt:lpwstr>
      </vt:variant>
      <vt:variant>
        <vt:lpwstr/>
      </vt:variant>
      <vt:variant>
        <vt:i4>8060974</vt:i4>
      </vt:variant>
      <vt:variant>
        <vt:i4>165</vt:i4>
      </vt:variant>
      <vt:variant>
        <vt:i4>0</vt:i4>
      </vt:variant>
      <vt:variant>
        <vt:i4>5</vt:i4>
      </vt:variant>
      <vt:variant>
        <vt:lpwstr>https://www.gov.uk/government/publications/the-disability-and-health-employment-strategy-1-year-on</vt:lpwstr>
      </vt:variant>
      <vt:variant>
        <vt:lpwstr/>
      </vt:variant>
      <vt:variant>
        <vt:i4>3145812</vt:i4>
      </vt:variant>
      <vt:variant>
        <vt:i4>162</vt:i4>
      </vt:variant>
      <vt:variant>
        <vt:i4>0</vt:i4>
      </vt:variant>
      <vt:variant>
        <vt:i4>5</vt:i4>
      </vt:variant>
      <vt:variant>
        <vt:lpwstr>http://npi.org.uk/files/3414/7087/2429/Disability_and_poverty_MAIN_REPORT_FINAL.pdf</vt:lpwstr>
      </vt:variant>
      <vt:variant>
        <vt:lpwstr/>
      </vt:variant>
      <vt:variant>
        <vt:i4>3670077</vt:i4>
      </vt:variant>
      <vt:variant>
        <vt:i4>159</vt:i4>
      </vt:variant>
      <vt:variant>
        <vt:i4>0</vt:i4>
      </vt:variant>
      <vt:variant>
        <vt:i4>5</vt:i4>
      </vt:variant>
      <vt:variant>
        <vt:lpwstr>http://www.equalityhumanrights.com/IsBritainFairer</vt:lpwstr>
      </vt:variant>
      <vt:variant>
        <vt:lpwstr/>
      </vt:variant>
      <vt:variant>
        <vt:i4>1835085</vt:i4>
      </vt:variant>
      <vt:variant>
        <vt:i4>156</vt:i4>
      </vt:variant>
      <vt:variant>
        <vt:i4>0</vt:i4>
      </vt:variant>
      <vt:variant>
        <vt:i4>5</vt:i4>
      </vt:variant>
      <vt:variant>
        <vt:lpwstr>http://www.jrf.org.uk/sites/files/jrf/MPSE-2014-FULL.pdf</vt:lpwstr>
      </vt:variant>
      <vt:variant>
        <vt:lpwstr/>
      </vt:variant>
      <vt:variant>
        <vt:i4>4325395</vt:i4>
      </vt:variant>
      <vt:variant>
        <vt:i4>153</vt:i4>
      </vt:variant>
      <vt:variant>
        <vt:i4>0</vt:i4>
      </vt:variant>
      <vt:variant>
        <vt:i4>5</vt:i4>
      </vt:variant>
      <vt:variant>
        <vt:lpwstr>http://www.poverty.org.uk/reports/disability.pdf</vt:lpwstr>
      </vt:variant>
      <vt:variant>
        <vt:lpwstr/>
      </vt:variant>
      <vt:variant>
        <vt:i4>5898256</vt:i4>
      </vt:variant>
      <vt:variant>
        <vt:i4>150</vt:i4>
      </vt:variant>
      <vt:variant>
        <vt:i4>0</vt:i4>
      </vt:variant>
      <vt:variant>
        <vt:i4>5</vt:i4>
      </vt:variant>
      <vt:variant>
        <vt:lpwstr>http://www.jrf.org.uk/media-centre/young-working-and-renting-uk-poverty-65931</vt:lpwstr>
      </vt:variant>
      <vt:variant>
        <vt:lpwstr/>
      </vt:variant>
      <vt:variant>
        <vt:i4>5046346</vt:i4>
      </vt:variant>
      <vt:variant>
        <vt:i4>144</vt:i4>
      </vt:variant>
      <vt:variant>
        <vt:i4>0</vt:i4>
      </vt:variant>
      <vt:variant>
        <vt:i4>5</vt:i4>
      </vt:variant>
      <vt:variant>
        <vt:lpwstr>http://www.ons.gov.uk/employmentandlabourmarket/peopleinwork/employmentandemployeetypes/bulletins/workingandworklesshouseholds/aprtojune2016</vt:lpwstr>
      </vt:variant>
      <vt:variant>
        <vt:lpwstr/>
      </vt:variant>
      <vt:variant>
        <vt:i4>5242956</vt:i4>
      </vt:variant>
      <vt:variant>
        <vt:i4>141</vt:i4>
      </vt:variant>
      <vt:variant>
        <vt:i4>0</vt:i4>
      </vt:variant>
      <vt:variant>
        <vt:i4>5</vt:i4>
      </vt:variant>
      <vt:variant>
        <vt:lpwstr>http://webarchive.nationalarchives.gov.uk/20131128110838/http:/odi.dwp.gov.uk/disability-statistics-and-research/disability-equality-indicators.php</vt:lpwstr>
      </vt:variant>
      <vt:variant>
        <vt:lpwstr>a10</vt:lpwstr>
      </vt:variant>
      <vt:variant>
        <vt:i4>8257635</vt:i4>
      </vt:variant>
      <vt:variant>
        <vt:i4>138</vt:i4>
      </vt:variant>
      <vt:variant>
        <vt:i4>0</vt:i4>
      </vt:variant>
      <vt:variant>
        <vt:i4>5</vt:i4>
      </vt:variant>
      <vt:variant>
        <vt:lpwstr>http://www.publications.parliament.uk/pa/cm200910/cmselect/cmchilsch/memo/youngpeo/me24.htm</vt:lpwstr>
      </vt:variant>
      <vt:variant>
        <vt:lpwstr/>
      </vt:variant>
      <vt:variant>
        <vt:i4>4653082</vt:i4>
      </vt:variant>
      <vt:variant>
        <vt:i4>135</vt:i4>
      </vt:variant>
      <vt:variant>
        <vt:i4>0</vt:i4>
      </vt:variant>
      <vt:variant>
        <vt:i4>5</vt:i4>
      </vt:variant>
      <vt:variant>
        <vt:lpwstr>http://www.ons.gov.uk/ons/rel/los/life-opportunities-survey/wave-three--final-report--october-2012-to-september-2014/rpt-chapter-3.html</vt:lpwstr>
      </vt:variant>
      <vt:variant>
        <vt:lpwstr>tab-3-5-Work-status-and-educational-attainment</vt:lpwstr>
      </vt:variant>
      <vt:variant>
        <vt:i4>6291553</vt:i4>
      </vt:variant>
      <vt:variant>
        <vt:i4>132</vt:i4>
      </vt:variant>
      <vt:variant>
        <vt:i4>0</vt:i4>
      </vt:variant>
      <vt:variant>
        <vt:i4>5</vt:i4>
      </vt:variant>
      <vt:variant>
        <vt:lpwstr>http://dx.doi.org/10.1787/888932439843</vt:lpwstr>
      </vt:variant>
      <vt:variant>
        <vt:lpwstr/>
      </vt:variant>
      <vt:variant>
        <vt:i4>524305</vt:i4>
      </vt:variant>
      <vt:variant>
        <vt:i4>129</vt:i4>
      </vt:variant>
      <vt:variant>
        <vt:i4>0</vt:i4>
      </vt:variant>
      <vt:variant>
        <vt:i4>5</vt:i4>
      </vt:variant>
      <vt:variant>
        <vt:lpwstr>http://www.parliament.uk/briefing-papers/SN06705.pdf</vt:lpwstr>
      </vt:variant>
      <vt:variant>
        <vt:lpwstr/>
      </vt:variant>
      <vt:variant>
        <vt:i4>4259911</vt:i4>
      </vt:variant>
      <vt:variant>
        <vt:i4>126</vt:i4>
      </vt:variant>
      <vt:variant>
        <vt:i4>0</vt:i4>
      </vt:variant>
      <vt:variant>
        <vt:i4>5</vt:i4>
      </vt:variant>
      <vt:variant>
        <vt:lpwstr>http://www.ons.gov.uk/ons/rel/los/life-opportunities-survey/wave-two--part-ii/rpt-chapter-3.html</vt:lpwstr>
      </vt:variant>
      <vt:variant>
        <vt:lpwstr/>
      </vt:variant>
      <vt:variant>
        <vt:i4>3932209</vt:i4>
      </vt:variant>
      <vt:variant>
        <vt:i4>123</vt:i4>
      </vt:variant>
      <vt:variant>
        <vt:i4>0</vt:i4>
      </vt:variant>
      <vt:variant>
        <vt:i4>5</vt:i4>
      </vt:variant>
      <vt:variant>
        <vt:lpwstr>http://www.ons.gov.uk/ons/rel/los/life-opportunities-survey/wave-three--final-report--october-2012-to-september-2014/rpt-chapter-3.html</vt:lpwstr>
      </vt:variant>
      <vt:variant>
        <vt:lpwstr/>
      </vt:variant>
      <vt:variant>
        <vt:i4>524314</vt:i4>
      </vt:variant>
      <vt:variant>
        <vt:i4>117</vt:i4>
      </vt:variant>
      <vt:variant>
        <vt:i4>0</vt:i4>
      </vt:variant>
      <vt:variant>
        <vt:i4>5</vt:i4>
      </vt:variant>
      <vt:variant>
        <vt:lpwstr>http://ascof.hscic.gov.uk/Outcome/1001/1F</vt:lpwstr>
      </vt:variant>
      <vt:variant>
        <vt:lpwstr/>
      </vt:variant>
      <vt:variant>
        <vt:i4>84</vt:i4>
      </vt:variant>
      <vt:variant>
        <vt:i4>114</vt:i4>
      </vt:variant>
      <vt:variant>
        <vt:i4>0</vt:i4>
      </vt:variant>
      <vt:variant>
        <vt:i4>5</vt:i4>
      </vt:variant>
      <vt:variant>
        <vt:lpwstr>http://www.ons.gov.uk/ons/rel/lms/labour-market-statistics/october-2014/statistical-bulletin.html</vt:lpwstr>
      </vt:variant>
      <vt:variant>
        <vt:lpwstr/>
      </vt:variant>
      <vt:variant>
        <vt:i4>6225937</vt:i4>
      </vt:variant>
      <vt:variant>
        <vt:i4>108</vt:i4>
      </vt:variant>
      <vt:variant>
        <vt:i4>0</vt:i4>
      </vt:variant>
      <vt:variant>
        <vt:i4>5</vt:i4>
      </vt:variant>
      <vt:variant>
        <vt:lpwstr>http://www.ons.gov.uk/employmentandlabourmarket/peopleinwork/employmentandemployeetypes/bulletins/uklabourmarket/june2016</vt:lpwstr>
      </vt:variant>
      <vt:variant>
        <vt:lpwstr/>
      </vt:variant>
      <vt:variant>
        <vt:i4>6946913</vt:i4>
      </vt:variant>
      <vt:variant>
        <vt:i4>99</vt:i4>
      </vt:variant>
      <vt:variant>
        <vt:i4>0</vt:i4>
      </vt:variant>
      <vt:variant>
        <vt:i4>5</vt:i4>
      </vt:variant>
      <vt:variant>
        <vt:lpwstr>http://ec.europa.eu/europe2020/pdf/csr2016/csr2016_uk_en.pdf</vt:lpwstr>
      </vt:variant>
      <vt:variant>
        <vt:lpwstr/>
      </vt:variant>
      <vt:variant>
        <vt:i4>6684775</vt:i4>
      </vt:variant>
      <vt:variant>
        <vt:i4>96</vt:i4>
      </vt:variant>
      <vt:variant>
        <vt:i4>0</vt:i4>
      </vt:variant>
      <vt:variant>
        <vt:i4>5</vt:i4>
      </vt:variant>
      <vt:variant>
        <vt:lpwstr>http://nesstar.ukdataservice.ac.uk/webview/index.jsp?headers=http%3A%2F%2F155.245.69.3%3A80%2Fobj%2FfVariable%2F7781_V128&amp;previousmode=table&amp;stubs=http%3A%2F%2F155.245.69.3%3A80%2Fobj%2FfVariable%2F7781_V360&amp;stubs=http%3A%2F%2Fdanessukds.essex.ac.uk%3A80%2Fobj%2FfVariable%2F7781_V367&amp;count=1&amp;cases1=7&amp;V367slice=1&amp;cases2=13&amp;V360slice=1&amp;charttype=null&amp;study=http%3A%2F%2F155.245.69.3%3A80%2Fobj%2FfStudy%2F7781&amp;V128slice=1&amp;var1=http%3A%2F%2Fdanessukds.essex.ac.uk%3A80%2Fobj%2FfVariable%2F7781_V15&amp;var2=http%3A%2F%2Fdanessukds.essex.ac.uk%3A80%2Fobj%2FfVariable%2F7781_V15&amp;mode=table&amp;op1=%26gt%3B%3D&amp;v=2&amp;op2=%26lt%3B%3D&amp;weights=http%3A%2F%2F155.245.69.3%3A80%2Fobj%2FfVariable%2F7781_V516&amp;analysismode=table&amp;ao1=and&amp;ao2=and&amp;top=yes</vt:lpwstr>
      </vt:variant>
      <vt:variant>
        <vt:lpwstr/>
      </vt:variant>
      <vt:variant>
        <vt:i4>6881347</vt:i4>
      </vt:variant>
      <vt:variant>
        <vt:i4>93</vt:i4>
      </vt:variant>
      <vt:variant>
        <vt:i4>0</vt:i4>
      </vt:variant>
      <vt:variant>
        <vt:i4>5</vt:i4>
      </vt:variant>
      <vt:variant>
        <vt:lpwstr>http://www.uis.unesco.org/Education/ISCEDMappings/Documents/North America and Western Europe/United_Kingdom_ISCED_mapping.xls</vt:lpwstr>
      </vt:variant>
      <vt:variant>
        <vt:lpwstr/>
      </vt:variant>
      <vt:variant>
        <vt:i4>3014738</vt:i4>
      </vt:variant>
      <vt:variant>
        <vt:i4>90</vt:i4>
      </vt:variant>
      <vt:variant>
        <vt:i4>0</vt:i4>
      </vt:variant>
      <vt:variant>
        <vt:i4>5</vt:i4>
      </vt:variant>
      <vt:variant>
        <vt:lpwstr>https://www.gov.uk/government/uploads/system/_x000b_uploads/attachment_data/file/348871/Outcomes_and_Indicators_Framework_Progress_Report_2014_data_tables_.xls</vt:lpwstr>
      </vt:variant>
      <vt:variant>
        <vt:lpwstr/>
      </vt:variant>
      <vt:variant>
        <vt:i4>7405581</vt:i4>
      </vt:variant>
      <vt:variant>
        <vt:i4>87</vt:i4>
      </vt:variant>
      <vt:variant>
        <vt:i4>0</vt:i4>
      </vt:variant>
      <vt:variant>
        <vt:i4>5</vt:i4>
      </vt:variant>
      <vt:variant>
        <vt:lpwstr>https://www.gov.uk/government/uploads/system/uploads/_x000b_attachment_data/file/348871/Outcomes_and_Indicators_Framework_Progress_Report_2014_data_tables_.xls</vt:lpwstr>
      </vt:variant>
      <vt:variant>
        <vt:lpwstr/>
      </vt:variant>
      <vt:variant>
        <vt:i4>6684775</vt:i4>
      </vt:variant>
      <vt:variant>
        <vt:i4>84</vt:i4>
      </vt:variant>
      <vt:variant>
        <vt:i4>0</vt:i4>
      </vt:variant>
      <vt:variant>
        <vt:i4>5</vt:i4>
      </vt:variant>
      <vt:variant>
        <vt:lpwstr>http://nesstar.ukdataservice.ac.uk/webview/index.jsp?headers=http%3A%2F%2F155.245.69.3%3A80%2Fobj%2FfVariable%2F7781_V128&amp;previousmode=table&amp;stubs=http%3A%2F%2F155.245.69.3%3A80%2Fobj%2FfVariable%2F7781_V360&amp;stubs=http%3A%2F%2Fdanessukds.essex.ac.uk%3A80%2Fobj%2FfVariable%2F7781_V367&amp;count=1&amp;cases1=7&amp;V367slice=1&amp;cases2=13&amp;V360slice=1&amp;charttype=null&amp;study=http%3A%2F%2F155.245.69.3%3A80%2Fobj%2FfStudy%2F7781&amp;V128slice=1&amp;var1=http%3A%2F%2Fdanessukds.essex.ac.uk%3A80%2Fobj%2FfVariable%2F7781_V15&amp;var2=http%3A%2F%2Fdanessukds.essex.ac.uk%3A80%2Fobj%2FfVariable%2F7781_V15&amp;mode=table&amp;op1=%26gt%3B%3D&amp;v=2&amp;op2=%26lt%3B%3D&amp;weights=http%3A%2F%2F155.245.69.3%3A80%2Fobj%2FfVariable%2F7781_V516&amp;analysismode=table&amp;ao1=and&amp;ao2=and&amp;top=yes</vt:lpwstr>
      </vt:variant>
      <vt:variant>
        <vt:lpwstr/>
      </vt:variant>
      <vt:variant>
        <vt:i4>6881347</vt:i4>
      </vt:variant>
      <vt:variant>
        <vt:i4>81</vt:i4>
      </vt:variant>
      <vt:variant>
        <vt:i4>0</vt:i4>
      </vt:variant>
      <vt:variant>
        <vt:i4>5</vt:i4>
      </vt:variant>
      <vt:variant>
        <vt:lpwstr>http://www.uis.unesco.org/Education/ISCEDMappings/Documents/North America and Western Europe/United_Kingdom_ISCED_mapping.xls</vt:lpwstr>
      </vt:variant>
      <vt:variant>
        <vt:lpwstr/>
      </vt:variant>
      <vt:variant>
        <vt:i4>655470</vt:i4>
      </vt:variant>
      <vt:variant>
        <vt:i4>78</vt:i4>
      </vt:variant>
      <vt:variant>
        <vt:i4>0</vt:i4>
      </vt:variant>
      <vt:variant>
        <vt:i4>5</vt:i4>
      </vt:variant>
      <vt:variant>
        <vt:lpwstr>http://epp.eurostat.ec.europa.eu/statistics_explained/_x000b_index.php/Glossary:Early_leaver_from_education_and_training</vt:lpwstr>
      </vt:variant>
      <vt:variant>
        <vt:lpwstr/>
      </vt:variant>
      <vt:variant>
        <vt:i4>7340045</vt:i4>
      </vt:variant>
      <vt:variant>
        <vt:i4>75</vt:i4>
      </vt:variant>
      <vt:variant>
        <vt:i4>0</vt:i4>
      </vt:variant>
      <vt:variant>
        <vt:i4>5</vt:i4>
      </vt:variant>
      <vt:variant>
        <vt:lpwstr>http://appsso.eurostat.ec.europa.eu/nui/show.do?dataset=hlth_de020&amp;lang=en</vt:lpwstr>
      </vt:variant>
      <vt:variant>
        <vt:lpwstr/>
      </vt:variant>
      <vt:variant>
        <vt:i4>7340046</vt:i4>
      </vt:variant>
      <vt:variant>
        <vt:i4>72</vt:i4>
      </vt:variant>
      <vt:variant>
        <vt:i4>0</vt:i4>
      </vt:variant>
      <vt:variant>
        <vt:i4>5</vt:i4>
      </vt:variant>
      <vt:variant>
        <vt:lpwstr>http://appsso.eurostat.ec.europa.eu/nui/show.do?dataset=hlth_de010&amp;lang=en</vt:lpwstr>
      </vt:variant>
      <vt:variant>
        <vt:lpwstr/>
      </vt:variant>
      <vt:variant>
        <vt:i4>4456449</vt:i4>
      </vt:variant>
      <vt:variant>
        <vt:i4>69</vt:i4>
      </vt:variant>
      <vt:variant>
        <vt:i4>0</vt:i4>
      </vt:variant>
      <vt:variant>
        <vt:i4>5</vt:i4>
      </vt:variant>
      <vt:variant>
        <vt:lpwstr>https://www.ons.gov.uk/file?uri=/employmentandlabourmarket/peopleinwork/employmentandemployeetypes/datasets/labourmarketstatusofdisabledpeoplea08/current/a08aug2016.xls</vt:lpwstr>
      </vt:variant>
      <vt:variant>
        <vt:lpwstr/>
      </vt:variant>
      <vt:variant>
        <vt:i4>7405581</vt:i4>
      </vt:variant>
      <vt:variant>
        <vt:i4>63</vt:i4>
      </vt:variant>
      <vt:variant>
        <vt:i4>0</vt:i4>
      </vt:variant>
      <vt:variant>
        <vt:i4>5</vt:i4>
      </vt:variant>
      <vt:variant>
        <vt:lpwstr>https://www.gov.uk/government/uploads/system/uploads/_x000b_attachment_data/file/348871/Outcomes_and_Indicators_Framework_Progress_Report_2014_data_tables_.xls</vt:lpwstr>
      </vt:variant>
      <vt:variant>
        <vt:lpwstr/>
      </vt:variant>
      <vt:variant>
        <vt:i4>4456449</vt:i4>
      </vt:variant>
      <vt:variant>
        <vt:i4>60</vt:i4>
      </vt:variant>
      <vt:variant>
        <vt:i4>0</vt:i4>
      </vt:variant>
      <vt:variant>
        <vt:i4>5</vt:i4>
      </vt:variant>
      <vt:variant>
        <vt:lpwstr>https://www.ons.gov.uk/file?uri=/employmentandlabourmarket/peopleinwork/employmentandemployeetypes/datasets/labourmarketstatusofdisabledpeoplea08/current/a08aug2016.xls</vt:lpwstr>
      </vt:variant>
      <vt:variant>
        <vt:lpwstr/>
      </vt:variant>
      <vt:variant>
        <vt:i4>7405581</vt:i4>
      </vt:variant>
      <vt:variant>
        <vt:i4>57</vt:i4>
      </vt:variant>
      <vt:variant>
        <vt:i4>0</vt:i4>
      </vt:variant>
      <vt:variant>
        <vt:i4>5</vt:i4>
      </vt:variant>
      <vt:variant>
        <vt:lpwstr>https://www.gov.uk/government/uploads/system/uploads/_x000b_attachment_data/file/348871/Outcomes_and_Indicators_Framework_Progress_Report_2014_data_tables_.xls</vt:lpwstr>
      </vt:variant>
      <vt:variant>
        <vt:lpwstr/>
      </vt:variant>
      <vt:variant>
        <vt:i4>4456449</vt:i4>
      </vt:variant>
      <vt:variant>
        <vt:i4>51</vt:i4>
      </vt:variant>
      <vt:variant>
        <vt:i4>0</vt:i4>
      </vt:variant>
      <vt:variant>
        <vt:i4>5</vt:i4>
      </vt:variant>
      <vt:variant>
        <vt:lpwstr>https://www.ons.gov.uk/file?uri=/employmentandlabourmarket/peopleinwork/employmentandemployeetypes/datasets/labourmarketstatusofdisabledpeoplea08/current/a08aug2016.xls</vt:lpwstr>
      </vt:variant>
      <vt:variant>
        <vt:lpwstr/>
      </vt:variant>
      <vt:variant>
        <vt:i4>4849730</vt:i4>
      </vt:variant>
      <vt:variant>
        <vt:i4>48</vt:i4>
      </vt:variant>
      <vt:variant>
        <vt:i4>0</vt:i4>
      </vt:variant>
      <vt:variant>
        <vt:i4>5</vt:i4>
      </vt:variant>
      <vt:variant>
        <vt:lpwstr>https://www.gov.uk/government/statistics/opinions-and-lifestyle-survey-fulfilling-potential-outcomes-and-indicators-2014-data</vt:lpwstr>
      </vt:variant>
      <vt:variant>
        <vt:lpwstr/>
      </vt:variant>
      <vt:variant>
        <vt:i4>3014738</vt:i4>
      </vt:variant>
      <vt:variant>
        <vt:i4>45</vt:i4>
      </vt:variant>
      <vt:variant>
        <vt:i4>0</vt:i4>
      </vt:variant>
      <vt:variant>
        <vt:i4>5</vt:i4>
      </vt:variant>
      <vt:variant>
        <vt:lpwstr>https://www.gov.uk/government/uploads/system/_x000b_uploads/attachment_data/file/348871/Outcomes_and_Indicators_Framework_Progress_Report_2014_data_tables_.xls</vt:lpwstr>
      </vt:variant>
      <vt:variant>
        <vt:lpwstr/>
      </vt:variant>
      <vt:variant>
        <vt:i4>5701712</vt:i4>
      </vt:variant>
      <vt:variant>
        <vt:i4>42</vt:i4>
      </vt:variant>
      <vt:variant>
        <vt:i4>0</vt:i4>
      </vt:variant>
      <vt:variant>
        <vt:i4>5</vt:i4>
      </vt:variant>
      <vt:variant>
        <vt:lpwstr>https://www.nomisweb.co.uk/articles/833.aspx</vt:lpwstr>
      </vt:variant>
      <vt:variant>
        <vt:lpwstr/>
      </vt:variant>
      <vt:variant>
        <vt:i4>1179735</vt:i4>
      </vt:variant>
      <vt:variant>
        <vt:i4>33</vt:i4>
      </vt:variant>
      <vt:variant>
        <vt:i4>0</vt:i4>
      </vt:variant>
      <vt:variant>
        <vt:i4>5</vt:i4>
      </vt:variant>
      <vt:variant>
        <vt:lpwstr>http://www.disability-europe.net/theme/statistical-indicators</vt:lpwstr>
      </vt:variant>
      <vt:variant>
        <vt:lpwstr/>
      </vt:variant>
      <vt:variant>
        <vt:i4>393248</vt:i4>
      </vt:variant>
      <vt:variant>
        <vt:i4>30</vt:i4>
      </vt:variant>
      <vt:variant>
        <vt:i4>0</vt:i4>
      </vt:variant>
      <vt:variant>
        <vt:i4>5</vt:i4>
      </vt:variant>
      <vt:variant>
        <vt:lpwstr>http://epp.eurostat.ec.europa.eu/statistics_explained/index.php/Glossary:Minimum_European_Health_Module_(MEHM)</vt:lpwstr>
      </vt:variant>
      <vt:variant>
        <vt:lpwstr/>
      </vt:variant>
      <vt:variant>
        <vt:i4>196622</vt:i4>
      </vt:variant>
      <vt:variant>
        <vt:i4>27</vt:i4>
      </vt:variant>
      <vt:variant>
        <vt:i4>0</vt:i4>
      </vt:variant>
      <vt:variant>
        <vt:i4>5</vt:i4>
      </vt:variant>
      <vt:variant>
        <vt:lpwstr>http://www.ofmdfmni.gov.uk/index/equality/disability.htm</vt:lpwstr>
      </vt:variant>
      <vt:variant>
        <vt:lpwstr/>
      </vt:variant>
      <vt:variant>
        <vt:i4>983063</vt:i4>
      </vt:variant>
      <vt:variant>
        <vt:i4>24</vt:i4>
      </vt:variant>
      <vt:variant>
        <vt:i4>0</vt:i4>
      </vt:variant>
      <vt:variant>
        <vt:i4>5</vt:i4>
      </vt:variant>
      <vt:variant>
        <vt:lpwstr>http://www.gov.scot/Publications/2015/09/6979</vt:lpwstr>
      </vt:variant>
      <vt:variant>
        <vt:lpwstr/>
      </vt:variant>
      <vt:variant>
        <vt:i4>7733358</vt:i4>
      </vt:variant>
      <vt:variant>
        <vt:i4>21</vt:i4>
      </vt:variant>
      <vt:variant>
        <vt:i4>0</vt:i4>
      </vt:variant>
      <vt:variant>
        <vt:i4>5</vt:i4>
      </vt:variant>
      <vt:variant>
        <vt:lpwstr>https://www.gov.uk/government/publications/fulfilling-potential-making-it-happen-updates-september-2014</vt:lpwstr>
      </vt:variant>
      <vt:variant>
        <vt:lpwstr/>
      </vt:variant>
      <vt:variant>
        <vt:i4>2490376</vt:i4>
      </vt:variant>
      <vt:variant>
        <vt:i4>18</vt:i4>
      </vt:variant>
      <vt:variant>
        <vt:i4>0</vt:i4>
      </vt:variant>
      <vt:variant>
        <vt:i4>5</vt:i4>
      </vt:variant>
      <vt:variant>
        <vt:lpwstr>https://www.gov.uk/government/uploads/system/uploads/attachment_data/file/320756/making-it-happen-technical-annex.pdf</vt:lpwstr>
      </vt:variant>
      <vt:variant>
        <vt:lpwstr/>
      </vt:variant>
      <vt:variant>
        <vt:i4>7733341</vt:i4>
      </vt:variant>
      <vt:variant>
        <vt:i4>15</vt:i4>
      </vt:variant>
      <vt:variant>
        <vt:i4>0</vt:i4>
      </vt:variant>
      <vt:variant>
        <vt:i4>5</vt:i4>
      </vt:variant>
      <vt:variant>
        <vt:lpwstr>https://www.gov.uk/government/uploads/system/uploads/attachment_data/file/320740/making-it-happen-action-plan.pdf</vt:lpwstr>
      </vt:variant>
      <vt:variant>
        <vt:lpwstr/>
      </vt:variant>
      <vt:variant>
        <vt:i4>2818056</vt:i4>
      </vt:variant>
      <vt:variant>
        <vt:i4>12</vt:i4>
      </vt:variant>
      <vt:variant>
        <vt:i4>0</vt:i4>
      </vt:variant>
      <vt:variant>
        <vt:i4>5</vt:i4>
      </vt:variant>
      <vt:variant>
        <vt:lpwstr>https://www.gov.uk/government/uploads/system/uploads/attachment_data/file/320745/making-it-happen.pdf</vt:lpwstr>
      </vt:variant>
      <vt:variant>
        <vt:lpwstr/>
      </vt:variant>
      <vt:variant>
        <vt:i4>4390942</vt:i4>
      </vt:variant>
      <vt:variant>
        <vt:i4>9</vt:i4>
      </vt:variant>
      <vt:variant>
        <vt:i4>0</vt:i4>
      </vt:variant>
      <vt:variant>
        <vt:i4>5</vt:i4>
      </vt:variant>
      <vt:variant>
        <vt:lpwstr>https://www.tuc.org.uk/sites/default/files/DisabilityandEmploymentReport.pdf</vt:lpwstr>
      </vt:variant>
      <vt:variant>
        <vt:lpwstr/>
      </vt:variant>
      <vt:variant>
        <vt:i4>6422627</vt:i4>
      </vt:variant>
      <vt:variant>
        <vt:i4>6</vt:i4>
      </vt:variant>
      <vt:variant>
        <vt:i4>0</vt:i4>
      </vt:variant>
      <vt:variant>
        <vt:i4>5</vt:i4>
      </vt:variant>
      <vt:variant>
        <vt:lpwstr>http://www.scope.org.uk/Scope/media/Documents/Publication Directory/A-million-futures-halving-the-disability-employment-gap.pdf</vt:lpwstr>
      </vt:variant>
      <vt:variant>
        <vt:lpwstr/>
      </vt:variant>
      <vt:variant>
        <vt:i4>3997807</vt:i4>
      </vt:variant>
      <vt:variant>
        <vt:i4>3</vt:i4>
      </vt:variant>
      <vt:variant>
        <vt:i4>0</vt:i4>
      </vt:variant>
      <vt:variant>
        <vt:i4>5</vt:i4>
      </vt:variant>
      <vt:variant>
        <vt:lpwstr>http://www.reform.uk/publication/rt-hon-iain-duncan-smith-mp-speech-on-work-health-and-disability/</vt:lpwstr>
      </vt:variant>
      <vt:variant>
        <vt:lpwstr/>
      </vt:variant>
      <vt:variant>
        <vt:i4>458854</vt:i4>
      </vt:variant>
      <vt:variant>
        <vt:i4>0</vt:i4>
      </vt:variant>
      <vt:variant>
        <vt:i4>0</vt:i4>
      </vt:variant>
      <vt:variant>
        <vt:i4>5</vt:i4>
      </vt:variant>
      <vt:variant>
        <vt:lpwstr>http://ec.europa.eu/europe2020/pdf/targets_en.pdf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Priestley</dc:creator>
  <cp:keywords/>
  <cp:lastModifiedBy>Rebecca van Midden</cp:lastModifiedBy>
  <cp:revision>3</cp:revision>
  <cp:lastPrinted>2015-09-17T09:54:00Z</cp:lastPrinted>
  <dcterms:created xsi:type="dcterms:W3CDTF">2018-04-09T14:54:00Z</dcterms:created>
  <dcterms:modified xsi:type="dcterms:W3CDTF">2018-04-09T15:01:00Z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